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20" w:rsidRDefault="007E2C20" w:rsidP="007E2C20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7E2C20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7E2C20" w:rsidRDefault="007E2C20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7E2C20" w:rsidRDefault="007E2C20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7E2C20" w:rsidRDefault="007E2C20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NOTICE OF HEARING</w:t>
            </w:r>
          </w:p>
        </w:tc>
      </w:tr>
    </w:tbl>
    <w:p w:rsidR="007E2C20" w:rsidRDefault="007E2C20" w:rsidP="007E2C20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26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7E2C20" w:rsidRDefault="007E2C20" w:rsidP="007E2C20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7E2C20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7E2C20" w:rsidRDefault="007E2C20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7E2C20" w:rsidRDefault="007E2C20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7E2C20" w:rsidRDefault="007E2C20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7E2C20" w:rsidRDefault="007E2C20" w:rsidP="007E2C20">
      <w:pPr>
        <w:spacing w:after="100"/>
      </w:pPr>
    </w:p>
    <w:p w:rsidR="007E2C20" w:rsidRDefault="007E2C20" w:rsidP="007E2C20">
      <w:pPr>
        <w:spacing w:before="60" w:after="80"/>
        <w:jc w:val="center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NOTICE OF HEARING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8"/>
        <w:gridCol w:w="7062"/>
      </w:tblGrid>
      <w:tr w:rsidR="007E2C20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E2C20" w:rsidRDefault="007E2C20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E2C20" w:rsidRDefault="007E2C20" w:rsidP="00553E07"/>
        </w:tc>
      </w:tr>
      <w:tr w:rsidR="007E2C20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E2C20" w:rsidRDefault="007E2C20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Deceased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E2C20" w:rsidRDefault="007E2C20" w:rsidP="00553E07"/>
        </w:tc>
      </w:tr>
      <w:tr w:rsidR="007E2C20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E2C20" w:rsidRDefault="007E2C20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Parties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E2C20" w:rsidRDefault="007E2C20" w:rsidP="00553E07"/>
        </w:tc>
      </w:tr>
      <w:tr w:rsidR="007E2C20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E2C20" w:rsidRDefault="007E2C20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Member / Panel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E2C20" w:rsidRDefault="007E2C20" w:rsidP="00553E07"/>
        </w:tc>
      </w:tr>
    </w:tbl>
    <w:p w:rsidR="007E2C20" w:rsidRDefault="007E2C20" w:rsidP="007E2C20">
      <w:pPr>
        <w:spacing w:after="80"/>
      </w:pPr>
    </w:p>
    <w:p w:rsidR="007E2C20" w:rsidRDefault="007E2C20" w:rsidP="007E2C2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HEARING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2"/>
        <w:gridCol w:w="7058"/>
      </w:tblGrid>
      <w:tr w:rsidR="007E2C20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E2C20" w:rsidRDefault="007E2C20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Hearing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E2C20" w:rsidRDefault="007E2C20" w:rsidP="00553E07"/>
        </w:tc>
      </w:tr>
      <w:tr w:rsidR="007E2C20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E2C20" w:rsidRDefault="007E2C20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Time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E2C20" w:rsidRDefault="007E2C20" w:rsidP="00553E07"/>
        </w:tc>
      </w:tr>
      <w:tr w:rsidR="007E2C20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E2C20" w:rsidRDefault="007E2C20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Mode — In Person / Video Link / Telephone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E2C20" w:rsidRDefault="007E2C20" w:rsidP="00553E07"/>
        </w:tc>
      </w:tr>
      <w:tr w:rsidR="007E2C20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E2C20" w:rsidRDefault="007E2C20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Venue / Platform / Dial-in Details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E2C20" w:rsidRDefault="007E2C20" w:rsidP="00553E07"/>
        </w:tc>
      </w:tr>
      <w:tr w:rsidR="007E2C20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E2C20" w:rsidRDefault="007E2C20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Estimated Duration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E2C20" w:rsidRDefault="007E2C20" w:rsidP="00553E07"/>
        </w:tc>
      </w:tr>
    </w:tbl>
    <w:p w:rsidR="007E2C20" w:rsidRDefault="007E2C20" w:rsidP="007E2C20">
      <w:pPr>
        <w:spacing w:after="80"/>
      </w:pPr>
    </w:p>
    <w:p w:rsidR="007E2C20" w:rsidRDefault="007E2C20" w:rsidP="007E2C2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MATTERS TO BE HEARD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8"/>
        <w:gridCol w:w="6512"/>
      </w:tblGrid>
      <w:tr w:rsidR="007E2C20" w:rsidTr="00553E0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7E2C20" w:rsidRDefault="007E2C20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Agenda / Issues for Hearing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7E2C20" w:rsidRDefault="007E2C20" w:rsidP="00553E07"/>
        </w:tc>
      </w:tr>
    </w:tbl>
    <w:p w:rsidR="007E2C20" w:rsidRDefault="007E2C20" w:rsidP="007E2C20">
      <w:pPr>
        <w:spacing w:after="80"/>
      </w:pPr>
    </w:p>
    <w:p w:rsidR="007E2C20" w:rsidRDefault="007E2C20" w:rsidP="007E2C2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YOUR RIGHTS AT THE HEARING</w:t>
      </w:r>
    </w:p>
    <w:p w:rsidR="007E2C20" w:rsidRDefault="007E2C20" w:rsidP="007E2C20">
      <w:pPr>
        <w:spacing w:before="60" w:after="60"/>
      </w:pPr>
      <w:r>
        <w:rPr>
          <w:rFonts w:ascii="Calibri" w:eastAsia="Calibri" w:hAnsi="Calibri" w:cs="Calibri"/>
          <w:color w:val="000000"/>
          <w:sz w:val="18"/>
          <w:szCs w:val="18"/>
        </w:rPr>
        <w:t>You are reminded of the following rights:</w:t>
      </w:r>
    </w:p>
    <w:p w:rsidR="007E2C20" w:rsidRDefault="007E2C20" w:rsidP="007E2C2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Right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attend in person or by representative of your choice (Rule 26(2) / FAA Act section 4(4)(a))</w:t>
      </w:r>
    </w:p>
    <w:p w:rsidR="007E2C20" w:rsidRDefault="007E2C20" w:rsidP="007E2C2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Right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a reasonable adjournment where necessary to ensure a fair hearing (Rule 26(4))</w:t>
      </w:r>
    </w:p>
    <w:p w:rsidR="007E2C20" w:rsidRDefault="007E2C20" w:rsidP="007E2C2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Right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cross-examine any witness who gives evidence adverse to you (Rule 28(4) / FAA Act section 4(3)(f) and 4(4)(c))</w:t>
      </w:r>
    </w:p>
    <w:p w:rsidR="007E2C20" w:rsidRDefault="007E2C20" w:rsidP="007E2C2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Right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present your case and respond to evidence (Rule 26(3))</w:t>
      </w:r>
    </w:p>
    <w:p w:rsidR="007E2C20" w:rsidRDefault="007E2C20" w:rsidP="007E2C20">
      <w:pPr>
        <w:spacing w:after="80"/>
      </w:pPr>
    </w:p>
    <w:p w:rsidR="007E2C20" w:rsidRDefault="007E2C20" w:rsidP="007E2C2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WITNESSES</w:t>
      </w:r>
    </w:p>
    <w:p w:rsidR="007E2C20" w:rsidRDefault="007E2C20" w:rsidP="007E2C20">
      <w:pPr>
        <w:spacing w:before="60" w:after="60"/>
      </w:pPr>
      <w:r>
        <w:rPr>
          <w:rFonts w:ascii="Calibri" w:eastAsia="Calibri" w:hAnsi="Calibri" w:cs="Calibri"/>
          <w:color w:val="000000"/>
          <w:sz w:val="18"/>
          <w:szCs w:val="18"/>
        </w:rPr>
        <w:t>If you wish any witness to attend for oral testimony, file a written request with the Registrar at least 5 days before the hearing date.</w:t>
      </w:r>
    </w:p>
    <w:p w:rsidR="007E2C20" w:rsidRDefault="007E2C20" w:rsidP="007E2C20">
      <w:pPr>
        <w:spacing w:after="80"/>
      </w:pPr>
    </w:p>
    <w:p w:rsidR="007E2C20" w:rsidRDefault="007E2C20" w:rsidP="007E2C2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PUBLIC HEARING</w:t>
      </w:r>
    </w:p>
    <w:p w:rsidR="007E2C20" w:rsidRDefault="007E2C20" w:rsidP="007E2C20">
      <w:pPr>
        <w:spacing w:before="60" w:after="60"/>
      </w:pPr>
      <w:r>
        <w:rPr>
          <w:rFonts w:ascii="Calibri" w:eastAsia="Calibri" w:hAnsi="Calibri" w:cs="Calibri"/>
          <w:color w:val="000000"/>
          <w:sz w:val="18"/>
          <w:szCs w:val="18"/>
        </w:rPr>
        <w:t>Proceedings are open to the public under Articles 10 and 50(1) of the Constitution, unless the Tribunal has directed otherwise under Article 50(8).</w:t>
      </w:r>
    </w:p>
    <w:p w:rsidR="007E2C20" w:rsidRDefault="007E2C20" w:rsidP="007E2C20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E2C20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7E2C20" w:rsidRDefault="007E2C20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Registrar, Aluochier Dispute Resolution:</w:t>
            </w:r>
          </w:p>
          <w:p w:rsidR="007E2C20" w:rsidRDefault="007E2C20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7E2C20" w:rsidRDefault="007E2C20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7E2C20" w:rsidRDefault="007E2C20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7E2C20" w:rsidRDefault="007E2C20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7E2C20" w:rsidRDefault="007E2C20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7E2C20" w:rsidRDefault="007E2C20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7E2C20" w:rsidRDefault="007E2C20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310254" w:rsidRDefault="007E2C20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20"/>
    <w:rsid w:val="006E56DA"/>
    <w:rsid w:val="007E2C20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2ABC2-100B-4B50-8A52-4AE41B02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2026-04-23T12:25:00Z</dcterms:created>
  <dcterms:modified xsi:type="dcterms:W3CDTF">2026-04-23T12:26:00Z</dcterms:modified>
</cp:coreProperties>
</file>