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40" w:hRule="exact"/>
        </w:trPr>
        <w:tc>
          <w:tcPr>
            <w:tcW w:type="dxa" w:w="2000"/>
            <w:tcBorders>
              <w:top w:val="nil"/>
              <w:left w:val="nil"/>
              <w:bottom w:val="nil"/>
              <w:right w:val="nil"/>
            </w:tcBorders>
            <w:shd w:fill="0A1628" w:val="clear"/>
            <w:vAlign w:val="center"/>
          </w:tcPr>
          <w:p>
            <w:pPr>
              <w:spacing w:after="0" w:before="100"/>
              <w:jc w:val="center"/>
            </w:pPr>
            <w:r>
              <w:rPr>
                <w:rFonts w:ascii="Calibri" w:cs="Calibri" w:eastAsia="Calibri" w:hAnsi="Calibri"/>
                <w:b/>
                <w:bCs/>
                <w:color w:val="B8963E"/>
                <w:sz w:val="32"/>
                <w:szCs w:val="32"/>
              </w:rPr>
              <w:t xml:space="preserve">B4</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8"/>
                <w:szCs w:val="18"/>
              </w:rPr>
              <w:t xml:space="preserve">AISTAR 2026</w:t>
            </w:r>
          </w:p>
          <w:p>
            <w:pPr>
              <w:spacing w:after="80" w:before="0"/>
              <w:ind w:left="120"/>
            </w:pPr>
            <w:r>
              <w:rPr>
                <w:rFonts w:ascii="Calibri" w:cs="Calibri" w:eastAsia="Calibri" w:hAnsi="Calibri"/>
                <w:b/>
                <w:bCs/>
                <w:color w:val="FFFFFF"/>
                <w:sz w:val="24"/>
                <w:szCs w:val="24"/>
              </w:rPr>
              <w:t xml:space="preserve">NOTICE OF PROCEEDINGS</w:t>
            </w:r>
          </w:p>
        </w:tc>
      </w:tr>
    </w:tbl>
    <w:p>
      <w:pPr>
        <w:pBdr>
          <w:bottom w:val="single" w:color="B8963E" w:sz="4"/>
        </w:pBdr>
        <w:spacing w:after="100" w:before="80"/>
      </w:pPr>
      <w:r>
        <w:rPr>
          <w:rFonts w:ascii="Calibri" w:cs="Calibri" w:eastAsia="Calibri" w:hAnsi="Calibri"/>
          <w:color w:val="4A5A70"/>
          <w:sz w:val="17"/>
          <w:szCs w:val="17"/>
        </w:rPr>
        <w:t xml:space="preserve">Aluochier Dispute Resolution  ·  </w:t>
      </w:r>
      <w:r>
        <w:rPr>
          <w:rFonts w:ascii="Calibri" w:cs="Calibri" w:eastAsia="Calibri" w:hAnsi="Calibri"/>
          <w:i/>
          <w:iCs/>
          <w:color w:val="4A5A70"/>
          <w:sz w:val="17"/>
          <w:szCs w:val="17"/>
        </w:rPr>
        <w:t xml:space="preserve">Rule 20 / Rule 20(9)</w:t>
      </w:r>
      <w:r>
        <w:rPr>
          <w:rFonts w:ascii="Calibri" w:cs="Calibri" w:eastAsia="Calibri" w:hAnsi="Calibri"/>
          <w:color w:val="4A5A70"/>
          <w:sz w:val="17"/>
          <w:szCs w:val="17"/>
        </w:rPr>
        <w:t xml:space="preserve">  ·  AISTAR 2026 Sixth Edition (Revised 19 April 2026)</w:t>
      </w:r>
    </w:p>
    <w:p>
      <w:pPr>
        <w:spacing w:after="10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B8963E" w:sz="8"/>
              <w:left w:val="single" w:color="B8963E" w:sz="8"/>
              <w:bottom w:val="single" w:color="B8963E" w:sz="8"/>
              <w:right w:val="single" w:color="B8963E" w:sz="8"/>
            </w:tcBorders>
            <w:shd w:fill="EEF2F8" w:val="clear"/>
          </w:tcPr>
          <w:p>
            <w:pPr>
              <w:spacing w:after="80" w:before="0"/>
              <w:jc w:val="center"/>
            </w:pPr>
            <w:r>
              <w:rPr>
                <w:rFonts w:ascii="Calibri" w:cs="Calibri" w:eastAsia="Calibri" w:hAnsi="Calibri"/>
                <w:b/>
                <w:bCs/>
                <w:i w:val="false"/>
                <w:iCs w:val="false"/>
                <w:color w:val="0A1628"/>
                <w:sz w:val="18"/>
                <w:szCs w:val="18"/>
              </w:rPr>
              <w:t xml:space="preserve">FOR REGISTRY USE ONLY</w:t>
            </w:r>
          </w:p>
          <w:p>
            <w:pPr>
              <w:spacing w:after="80" w:before="0"/>
              <w:jc w:val="left"/>
            </w:pPr>
            <w:r>
              <w:rPr>
                <w:rFonts w:ascii="Calibri" w:cs="Calibri" w:eastAsia="Calibri" w:hAnsi="Calibri"/>
                <w:b/>
                <w:bCs/>
                <w:i w:val="false"/>
                <w:iCs w:val="false"/>
                <w:color w:val="0A1628"/>
                <w:sz w:val="18"/>
                <w:szCs w:val="18"/>
              </w:rPr>
              <w:t xml:space="preserve">Registry Case Identifier:  </w:t>
            </w:r>
            <w:r>
              <w:rPr>
                <w:rFonts w:ascii="Calibri" w:cs="Calibri" w:eastAsia="Calibri" w:hAnsi="Calibri"/>
                <w:b w:val="false"/>
                <w:bCs w:val="false"/>
                <w:i w:val="false"/>
                <w:iCs w:val="false"/>
                <w:color w:val="4A5A70"/>
                <w:sz w:val="18"/>
                <w:szCs w:val="18"/>
              </w:rPr>
              <w:t xml:space="preserve">AISTAR-____-________</w:t>
            </w:r>
            <w:r>
              <w:rPr>
                <w:rFonts w:ascii="Calibri" w:cs="Calibri" w:eastAsia="Calibri" w:hAnsi="Calibri"/>
                <w:b/>
                <w:bCs/>
                <w:i w:val="false"/>
                <w:iCs w:val="false"/>
                <w:color w:val="0A1628"/>
                <w:sz w:val="18"/>
                <w:szCs w:val="18"/>
              </w:rPr>
              <w:t xml:space="preserve">          Date Filed:  </w:t>
            </w:r>
            <w:r>
              <w:rPr>
                <w:rFonts w:ascii="Calibri" w:cs="Calibri" w:eastAsia="Calibri" w:hAnsi="Calibri"/>
                <w:b w:val="false"/>
                <w:bCs w:val="false"/>
                <w:i w:val="false"/>
                <w:iCs w:val="false"/>
                <w:color w:val="4A5A70"/>
                <w:sz w:val="18"/>
                <w:szCs w:val="18"/>
              </w:rPr>
              <w:t xml:space="preserve">_________________</w:t>
            </w:r>
          </w:p>
          <w:p>
            <w:pPr>
              <w:spacing w:after="80" w:before="0"/>
              <w:jc w:val="left"/>
            </w:pPr>
            <w:r>
              <w:rPr>
                <w:rFonts w:ascii="Calibri" w:cs="Calibri" w:eastAsia="Calibri" w:hAnsi="Calibri"/>
                <w:b/>
                <w:bCs/>
                <w:i w:val="false"/>
                <w:iCs w:val="false"/>
                <w:color w:val="0A1628"/>
                <w:sz w:val="18"/>
                <w:szCs w:val="18"/>
              </w:rPr>
              <w:t xml:space="preserve">Served by:  </w:t>
            </w:r>
            <w:r>
              <w:rPr>
                <w:rFonts w:ascii="Calibri" w:cs="Calibri" w:eastAsia="Calibri" w:hAnsi="Calibri"/>
                <w:b w:val="false"/>
                <w:bCs w:val="false"/>
                <w:i w:val="false"/>
                <w:iCs w:val="false"/>
                <w:color w:val="4A5A70"/>
                <w:sz w:val="18"/>
                <w:szCs w:val="18"/>
              </w:rPr>
              <w:t xml:space="preserve">_____________________________</w:t>
            </w:r>
            <w:r>
              <w:rPr>
                <w:rFonts w:ascii="Calibri" w:cs="Calibri" w:eastAsia="Calibri" w:hAnsi="Calibri"/>
                <w:b/>
                <w:bCs/>
                <w:i w:val="false"/>
                <w:iCs w:val="false"/>
                <w:color w:val="0A1628"/>
                <w:sz w:val="18"/>
                <w:szCs w:val="18"/>
              </w:rPr>
              <w:t xml:space="preserve">          Mode of Service:  </w:t>
            </w:r>
            <w:r>
              <w:rPr>
                <w:rFonts w:ascii="Calibri" w:cs="Calibri" w:eastAsia="Calibri" w:hAnsi="Calibri"/>
                <w:b w:val="false"/>
                <w:bCs w:val="false"/>
                <w:i w:val="false"/>
                <w:iCs w:val="false"/>
                <w:color w:val="4A5A70"/>
                <w:sz w:val="18"/>
                <w:szCs w:val="18"/>
              </w:rPr>
              <w:t xml:space="preserve">____________________</w:t>
            </w:r>
          </w:p>
        </w:tc>
      </w:tr>
    </w:tbl>
    <w:p>
      <w:pPr>
        <w:spacing w:after="100" w:before="0"/>
      </w:pPr>
    </w:p>
    <w:p>
      <w:pPr>
        <w:spacing w:after="80" w:before="160"/>
      </w:pPr>
      <w:r>
        <w:rPr>
          <w:rFonts w:ascii="Calibri" w:cs="Calibri" w:eastAsia="Calibri" w:hAnsi="Calibri"/>
          <w:b/>
          <w:bCs/>
          <w:color w:val="0A1628"/>
          <w:sz w:val="22"/>
          <w:szCs w:val="22"/>
        </w:rPr>
        <w:t xml:space="preserve">PART A — ADDRESSEE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To (Full Name of Party / Beneficiary / Dependant / Creditor)</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Address</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 / Telephone</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Mode of Service</w:t>
            </w:r>
          </w:p>
        </w:tc>
        <w:tc>
          <w:tcPr>
            <w:tcW w:type="dxa" w:w="76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60"/>
      </w:pPr>
      <w:r>
        <w:rPr>
          <w:rFonts w:ascii="Calibri" w:cs="Calibri" w:eastAsia="Calibri" w:hAnsi="Calibri"/>
          <w:i/>
          <w:iCs/>
          <w:color w:val="4A5A70"/>
          <w:sz w:val="16"/>
          <w:szCs w:val="16"/>
        </w:rPr>
        <w:t xml:space="preserve">This Notice is served on you because you have, or may have, a legal interest in the estate described below.</w:t>
      </w:r>
    </w:p>
    <w:p>
      <w:pPr>
        <w:spacing w:after="80" w:before="0"/>
      </w:pPr>
    </w:p>
    <w:p>
      <w:pPr>
        <w:spacing w:after="80" w:before="160"/>
      </w:pPr>
      <w:r>
        <w:rPr>
          <w:rFonts w:ascii="Calibri" w:cs="Calibri" w:eastAsia="Calibri" w:hAnsi="Calibri"/>
          <w:b/>
          <w:bCs/>
          <w:color w:val="0A1628"/>
          <w:sz w:val="22"/>
          <w:szCs w:val="22"/>
        </w:rPr>
        <w:t xml:space="preserve">PART B — PARTICULARS OF THE PROCEEDINGS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Case Identifier</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Deceased</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Death</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68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Last Known Address of Deceased</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Name of Petitioner</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Relationship of Petitioner to Deceased</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Date of Appointment of Tribunal</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Tribunal Member / Panel</w:t>
            </w:r>
          </w:p>
        </w:tc>
        <w:tc>
          <w:tcPr>
            <w:tcW w:type="dxa" w:w="7600"/>
            <w:tcBorders>
              <w:top w:val="single" w:color="D0D8E4" w:sz="4"/>
              <w:left w:val="nil"/>
              <w:bottom w:val="single" w:color="D0D8E4" w:sz="4"/>
              <w:right w:val="single" w:color="D0D8E4" w:sz="4"/>
            </w:tcBorders>
            <w:vAlign w:val="bottom"/>
          </w:tcPr>
          <w:p>
            <w:pPr>
              <w:spacing w:after="0" w:before="0"/>
            </w:pPr>
          </w:p>
        </w:tc>
      </w:tr>
    </w:tbl>
    <w:p>
      <w:pPr>
        <w:spacing w:after="80" w:before="0"/>
      </w:pPr>
    </w:p>
    <w:p>
      <w:pPr>
        <w:spacing w:after="80" w:before="80"/>
        <w:jc w:val="left"/>
      </w:pPr>
      <w:r>
        <w:rPr>
          <w:rFonts w:ascii="Calibri" w:cs="Calibri" w:eastAsia="Calibri" w:hAnsi="Calibri"/>
          <w:b/>
          <w:bCs/>
          <w:i w:val="false"/>
          <w:iCs w:val="false"/>
          <w:color w:val="0A1628"/>
          <w:sz w:val="20"/>
          <w:szCs w:val="20"/>
        </w:rPr>
        <w:t xml:space="preserve">TAKE NOTICE</w:t>
      </w:r>
      <w:r>
        <w:rPr>
          <w:rFonts w:ascii="Calibri" w:cs="Calibri" w:eastAsia="Calibri" w:hAnsi="Calibri"/>
          <w:b w:val="false"/>
          <w:bCs w:val="false"/>
          <w:i w:val="false"/>
          <w:iCs w:val="false"/>
          <w:color w:val="000000"/>
          <w:sz w:val="18"/>
          <w:szCs w:val="18"/>
        </w:rPr>
        <w:t xml:space="preserve"> that proceedings have been initiated before Aluochier Dispute Resolution in respect of the above estate under the Aluochier Independent Succession Tribunals Administrative Rules, 2026 (AISTAR 2026). These proceedings are administrative action within the meaning of Article 47 of the Constitution of Kenya and the Fair Administrative Action Act.</w:t>
      </w:r>
    </w:p>
    <w:p>
      <w:pPr>
        <w:spacing w:after="80" w:before="0"/>
      </w:pPr>
    </w:p>
    <w:p>
      <w:pPr>
        <w:spacing w:after="80" w:before="160"/>
      </w:pPr>
      <w:r>
        <w:rPr>
          <w:rFonts w:ascii="Calibri" w:cs="Calibri" w:eastAsia="Calibri" w:hAnsi="Calibri"/>
          <w:b/>
          <w:bCs/>
          <w:color w:val="0A1628"/>
          <w:sz w:val="22"/>
          <w:szCs w:val="22"/>
        </w:rPr>
        <w:t xml:space="preserve">PART C — YOUR RIGHTS IN THESE PROCEEDINGS</w:t>
      </w:r>
    </w:p>
    <w:p>
      <w:pPr>
        <w:spacing w:after="60" w:before="0"/>
        <w:jc w:val="left"/>
      </w:pPr>
      <w:r>
        <w:rPr>
          <w:rFonts w:ascii="Calibri" w:cs="Calibri" w:eastAsia="Calibri" w:hAnsi="Calibri"/>
          <w:b w:val="false"/>
          <w:bCs w:val="false"/>
          <w:i w:val="false"/>
          <w:iCs w:val="false"/>
          <w:color w:val="000000"/>
          <w:sz w:val="18"/>
          <w:szCs w:val="18"/>
        </w:rPr>
        <w:t xml:space="preserve">You are hereby notified of the following rights under AISTAR 2026 and the Fair Administrative Action Act:</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file a Response and Counter-Inventory within THIRTY (30) DAYS of the date of this Notice (Rule 20(4)).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be represented by an advocate, family spokesperson, or other representative of your choice in all proceedings (Rule 20(6) / FAA Act section 4(3)(e)).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propose an alternative distribution plan (Rule 20(4)).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apply for a Preservation Order if you have evidence that estate assets are at risk (Rule 19 / Form B9).</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receive copies of all documents relied upon by the Tribunal (Rule 22(4)(a) / FAA Act section 4(3)(g)).</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cross-examine any witness who gives evidence adverse to you at any hearing (Rule 28(4)).</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receive written reasons for any Determination that adversely affects you (Rule 34 / FAA Act section 6).</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You have the right to apply for Internal Review of the Determination within 42 days (Rule 51 / Form B31).</w:t>
      </w:r>
    </w:p>
    <w:p>
      <w:pPr>
        <w:spacing w:after="80" w:before="0"/>
      </w:pPr>
    </w:p>
    <w:p>
      <w:pPr>
        <w:spacing w:after="80" w:before="160"/>
      </w:pPr>
      <w:r>
        <w:rPr>
          <w:rFonts w:ascii="Calibri" w:cs="Calibri" w:eastAsia="Calibri" w:hAnsi="Calibri"/>
          <w:b/>
          <w:bCs/>
          <w:color w:val="0A1628"/>
          <w:sz w:val="22"/>
          <w:szCs w:val="22"/>
        </w:rPr>
        <w:t xml:space="preserve">PART D — HOW TO RESPOND</w:t>
      </w:r>
    </w:p>
    <w:p>
      <w:pPr>
        <w:spacing w:after="60" w:before="0"/>
        <w:jc w:val="left"/>
      </w:pPr>
      <w:r>
        <w:rPr>
          <w:rFonts w:ascii="Calibri" w:cs="Calibri" w:eastAsia="Calibri" w:hAnsi="Calibri"/>
          <w:b w:val="false"/>
          <w:bCs w:val="false"/>
          <w:i w:val="false"/>
          <w:iCs w:val="false"/>
          <w:color w:val="000000"/>
          <w:sz w:val="18"/>
          <w:szCs w:val="18"/>
        </w:rPr>
        <w:t xml:space="preserve">To participate, file your Response and Counter-Inventory at the AISTAR Registry: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Registry Address</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Email</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Telephone / WhatsApp</w:t>
            </w:r>
          </w:p>
        </w:tc>
        <w:tc>
          <w:tcPr>
            <w:tcW w:type="dxa" w:w="7600"/>
            <w:tcBorders>
              <w:top w:val="single" w:color="D0D8E4" w:sz="4"/>
              <w:left w:val="nil"/>
              <w:bottom w:val="single" w:color="D0D8E4" w:sz="4"/>
              <w:right w:val="single" w:color="D0D8E4" w:sz="4"/>
            </w:tcBorders>
            <w:vAlign w:val="bottom"/>
          </w:tcPr>
          <w:p>
            <w:pPr>
              <w:spacing w:after="0" w:before="0"/>
            </w:pP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340" w:hRule="exact"/>
        </w:trPr>
        <w:tc>
          <w:tcPr>
            <w:tcW w:type="dxa" w:w="2400"/>
            <w:tcBorders>
              <w:top w:val="single" w:color="D0D8E4" w:sz="4"/>
              <w:left w:val="single" w:color="D0D8E4" w:sz="4"/>
              <w:bottom w:val="single" w:color="D0D8E4" w:sz="4"/>
              <w:right w:val="nil"/>
            </w:tcBorders>
            <w:shd w:fill="EEF2F8" w:val="clear"/>
            <w:vAlign w:val="top"/>
          </w:tcPr>
          <w:p>
            <w:pPr>
              <w:spacing w:after="0" w:before="60"/>
              <w:ind w:left="80"/>
            </w:pPr>
            <w:r>
              <w:rPr>
                <w:rFonts w:ascii="Calibri" w:cs="Calibri" w:eastAsia="Calibri" w:hAnsi="Calibri"/>
                <w:b/>
                <w:bCs/>
                <w:color w:val="0A1628"/>
                <w:sz w:val="18"/>
                <w:szCs w:val="18"/>
              </w:rPr>
              <w:t xml:space="preserve">DEADLINE FOR RESPONSE</w:t>
            </w:r>
          </w:p>
        </w:tc>
        <w:tc>
          <w:tcPr>
            <w:tcW w:type="dxa" w:w="7600"/>
            <w:tcBorders>
              <w:top w:val="single" w:color="D0D8E4" w:sz="4"/>
              <w:left w:val="nil"/>
              <w:bottom w:val="single" w:color="D0D8E4" w:sz="4"/>
              <w:right w:val="single" w:color="D0D8E4" w:sz="4"/>
            </w:tcBorders>
            <w:vAlign w:val="bottom"/>
          </w:tcPr>
          <w:p>
            <w:pPr>
              <w:spacing w:after="0" w:before="0"/>
            </w:pPr>
          </w:p>
        </w:tc>
      </w:tr>
    </w:tbl>
    <w:p>
      <w:pPr>
        <w:spacing w:after="60" w:before="0"/>
      </w:pPr>
    </w:p>
    <w:p>
      <w:pPr>
        <w:spacing w:after="60" w:before="60"/>
      </w:pPr>
      <w:r>
        <w:rPr>
          <w:rFonts w:ascii="Calibri" w:cs="Calibri" w:eastAsia="Calibri" w:hAnsi="Calibri"/>
          <w:i/>
          <w:iCs/>
          <w:color w:val="4A5A70"/>
          <w:sz w:val="16"/>
          <w:szCs w:val="16"/>
        </w:rPr>
        <w:t xml:space="preserve">Failure to respond within the stated period does not constitute an admission of the Petitioner's claims but may result in the Tribunal proceeding on the available evidence (Rule 30).</w:t>
      </w:r>
    </w:p>
    <w:p>
      <w:pPr>
        <w:spacing w:after="80" w:before="0"/>
      </w:pPr>
    </w:p>
    <w:p>
      <w:pPr>
        <w:spacing w:after="80" w:before="160"/>
      </w:pPr>
      <w:r>
        <w:rPr>
          <w:rFonts w:ascii="Calibri" w:cs="Calibri" w:eastAsia="Calibri" w:hAnsi="Calibri"/>
          <w:b/>
          <w:bCs/>
          <w:color w:val="0A1628"/>
          <w:sz w:val="22"/>
          <w:szCs w:val="22"/>
        </w:rPr>
        <w:t xml:space="preserve">PART E — DOCUMENTS ENCLOSED</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Copy of Petition for Adjudicative Settlement (Form B1)</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Registry Case Identifier and case reference</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AISTAR 2026 Privacy Notice (see Part 2 of this Form)</w:t>
      </w:r>
    </w:p>
    <w:p>
      <w:pPr>
        <w:spacing w:after="40" w:before="40"/>
        <w:jc w:val="left"/>
      </w:pPr>
      <w:r>
        <w:rPr>
          <w:rFonts w:ascii="Calibri" w:cs="Calibri" w:eastAsia="Calibri" w:hAnsi="Calibri"/>
          <w:b w:val="false"/>
          <w:bCs w:val="false"/>
          <w:i w:val="false"/>
          <w:iCs w:val="false"/>
          <w:color w:val="0A1628"/>
          <w:sz w:val="20"/>
          <w:szCs w:val="20"/>
        </w:rPr>
        <w:t xml:space="preserve">☐  </w:t>
      </w:r>
      <w:r>
        <w:rPr>
          <w:rFonts w:ascii="Calibri" w:cs="Calibri" w:eastAsia="Calibri" w:hAnsi="Calibri"/>
          <w:b w:val="false"/>
          <w:bCs w:val="false"/>
          <w:i w:val="false"/>
          <w:iCs w:val="false"/>
          <w:color w:val="000000"/>
          <w:sz w:val="18"/>
          <w:szCs w:val="18"/>
        </w:rPr>
        <w:t xml:space="preserve">Other: _______________________________________________</w:t>
      </w:r>
    </w:p>
    <w:p>
      <w:pPr>
        <w:spacing w:after="80" w:before="0"/>
      </w:pPr>
    </w:p>
    <w:p>
      <w:pPr>
        <w:pBdr>
          <w:bottom w:val="single" w:color="B8963E" w:sz="6"/>
        </w:pBdr>
        <w:spacing w:after="80" w:before="80"/>
      </w:pPr>
    </w:p>
    <w:p>
      <w:pPr>
        <w:spacing w:after="6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Borders>
              <w:top w:val="nil"/>
              <w:left w:val="nil"/>
              <w:bottom w:val="nil"/>
              <w:right w:val="nil"/>
            </w:tcBorders>
          </w:tcPr>
          <w:p>
            <w:pPr>
              <w:spacing w:after="80" w:before="0"/>
              <w:jc w:val="left"/>
            </w:pPr>
            <w:r>
              <w:rPr>
                <w:rFonts w:ascii="Calibri" w:cs="Calibri" w:eastAsia="Calibri" w:hAnsi="Calibri"/>
                <w:b/>
                <w:bCs/>
                <w:i w:val="false"/>
                <w:iCs w:val="false"/>
                <w:color w:val="0A1628"/>
                <w:sz w:val="18"/>
                <w:szCs w:val="18"/>
              </w:rPr>
              <w:t xml:space="preserve">Registrar, Aluochier Dispute Resolution:</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p>
            <w:pPr>
              <w:spacing w:after="80" w:before="0"/>
              <w:jc w:val="left"/>
            </w:pPr>
            <w:r>
              <w:rPr>
                <w:rFonts w:ascii="Calibri" w:cs="Calibri" w:eastAsia="Calibri" w:hAnsi="Calibri"/>
                <w:b/>
                <w:bCs/>
                <w:i w:val="false"/>
                <w:iCs w:val="false"/>
                <w:color w:val="0A1628"/>
                <w:sz w:val="18"/>
                <w:szCs w:val="18"/>
              </w:rPr>
              <w:t xml:space="preserve">Name:</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p>
            <w:pPr>
              <w:spacing w:after="80" w:before="0"/>
              <w:jc w:val="left"/>
            </w:pPr>
            <w:r>
              <w:rPr>
                <w:rFonts w:ascii="Calibri" w:cs="Calibri" w:eastAsia="Calibri" w:hAnsi="Calibri"/>
                <w:b/>
                <w:bCs/>
                <w:i w:val="false"/>
                <w:iCs w:val="false"/>
                <w:color w:val="0A1628"/>
                <w:sz w:val="18"/>
                <w:szCs w:val="18"/>
              </w:rPr>
              <w:t xml:space="preserve">Designation / Role:</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tc>
        <w:tc>
          <w:tcPr>
            <w:tcBorders>
              <w:top w:val="nil"/>
              <w:left w:val="nil"/>
              <w:bottom w:val="nil"/>
              <w:right w:val="nil"/>
            </w:tcBorders>
          </w:tcPr>
          <w:p>
            <w:pPr>
              <w:spacing w:after="80" w:before="0"/>
              <w:jc w:val="left"/>
            </w:pPr>
            <w:r>
              <w:rPr>
                <w:rFonts w:ascii="Calibri" w:cs="Calibri" w:eastAsia="Calibri" w:hAnsi="Calibri"/>
                <w:b/>
                <w:bCs/>
                <w:i w:val="false"/>
                <w:iCs w:val="false"/>
                <w:color w:val="0A1628"/>
                <w:sz w:val="18"/>
                <w:szCs w:val="18"/>
              </w:rPr>
              <w:t xml:space="preserve">Date:</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p>
            <w:pPr>
              <w:spacing w:after="80" w:before="0"/>
              <w:jc w:val="left"/>
            </w:pPr>
            <w:r>
              <w:rPr>
                <w:rFonts w:ascii="Calibri" w:cs="Calibri" w:eastAsia="Calibri" w:hAnsi="Calibri"/>
                <w:b/>
                <w:bCs/>
                <w:i w:val="false"/>
                <w:iCs w:val="false"/>
                <w:color w:val="0A1628"/>
                <w:sz w:val="18"/>
                <w:szCs w:val="18"/>
              </w:rPr>
              <w:t xml:space="preserve">Name:</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p>
            <w:pPr>
              <w:spacing w:after="80" w:before="0"/>
              <w:jc w:val="left"/>
            </w:pPr>
            <w:r>
              <w:rPr>
                <w:rFonts w:ascii="Calibri" w:cs="Calibri" w:eastAsia="Calibri" w:hAnsi="Calibri"/>
                <w:b/>
                <w:bCs/>
                <w:i w:val="false"/>
                <w:iCs w:val="false"/>
                <w:color w:val="0A1628"/>
                <w:sz w:val="18"/>
                <w:szCs w:val="18"/>
              </w:rPr>
              <w:t xml:space="preserve">Designation / Role:</w:t>
            </w:r>
          </w:p>
          <w:p>
            <w:pPr>
              <w:spacing w:after="80" w:before="0"/>
              <w:jc w:val="left"/>
            </w:pPr>
            <w:r>
              <w:rPr>
                <w:rFonts w:ascii="Calibri" w:cs="Calibri" w:eastAsia="Calibri" w:hAnsi="Calibri"/>
                <w:b w:val="false"/>
                <w:bCs w:val="false"/>
                <w:i w:val="false"/>
                <w:iCs w:val="false"/>
                <w:color w:val="D0D8E4"/>
                <w:sz w:val="18"/>
                <w:szCs w:val="18"/>
              </w:rPr>
              <w:t xml:space="preserve">_____________________________</w:t>
            </w:r>
          </w:p>
        </w:tc>
      </w:tr>
    </w:tbl>
    <w:p>
      <w:pPr>
        <w:spacing w:after="80" w:before="0"/>
      </w:pPr>
    </w:p>
    <w:p>
      <w:pPr>
        <w:spacing w:after="60" w:before="60"/>
      </w:pPr>
      <w:r>
        <w:rPr>
          <w:rFonts w:ascii="Calibri" w:cs="Calibri" w:eastAsia="Calibri" w:hAnsi="Calibri"/>
          <w:i/>
          <w:iCs/>
          <w:color w:val="4A5A70"/>
          <w:sz w:val="16"/>
          <w:szCs w:val="16"/>
        </w:rPr>
        <w:t xml:space="preserve">Issued pursuant to Rule 20 of AISTAR 2026 Sixth Edition (Revised 19 April 2026). This Notice is accompanied by the AISTAR Privacy Notice on the following page, which forms an integral part of this Notice by virtue of Rule 20(9).</w:t>
      </w:r>
    </w:p>
    <w:p>
      <w:pPr>
        <w:pageBreakBefore/>
        <w:spacing w:after="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rHeight w:val="560" w:hRule="exact"/>
        </w:trPr>
        <w:tc>
          <w:tcPr>
            <w:tcW w:type="dxa" w:w="2000"/>
            <w:tcBorders>
              <w:top w:val="nil"/>
              <w:left w:val="nil"/>
              <w:bottom w:val="nil"/>
              <w:right w:val="nil"/>
            </w:tcBorders>
            <w:shd w:fill="0A1628" w:val="clear"/>
            <w:vAlign w:val="center"/>
          </w:tcPr>
          <w:p>
            <w:pPr>
              <w:spacing w:after="0" w:before="80"/>
              <w:jc w:val="center"/>
            </w:pPr>
            <w:r>
              <w:rPr>
                <w:rFonts w:ascii="Calibri" w:cs="Calibri" w:eastAsia="Calibri" w:hAnsi="Calibri"/>
                <w:b/>
                <w:bCs/>
                <w:color w:val="B8963E"/>
                <w:sz w:val="28"/>
                <w:szCs w:val="28"/>
              </w:rPr>
              <w:t xml:space="preserve">B4</w:t>
            </w:r>
            <w:r>
              <w:rPr>
                <w:rFonts w:ascii="Calibri" w:cs="Calibri" w:eastAsia="Calibri" w:hAnsi="Calibri"/>
                <w:color w:val="B8963E"/>
                <w:sz w:val="16"/>
                <w:szCs w:val="16"/>
              </w:rPr>
              <w:t xml:space="preserve">
ANNEX</w:t>
            </w:r>
          </w:p>
        </w:tc>
        <w:tc>
          <w:tcPr>
            <w:tcBorders>
              <w:top w:val="nil"/>
              <w:left w:val="nil"/>
              <w:bottom w:val="nil"/>
              <w:right w:val="nil"/>
            </w:tcBorders>
            <w:shd w:fill="0A1628" w:val="clear"/>
            <w:vAlign w:val="center"/>
          </w:tcPr>
          <w:p>
            <w:pPr>
              <w:spacing w:after="20" w:before="80"/>
              <w:ind w:left="120"/>
            </w:pPr>
            <w:r>
              <w:rPr>
                <w:rFonts w:ascii="Calibri" w:cs="Calibri" w:eastAsia="Calibri" w:hAnsi="Calibri"/>
                <w:color w:val="B8963E"/>
                <w:sz w:val="17"/>
                <w:szCs w:val="17"/>
              </w:rPr>
              <w:t xml:space="preserve">AISTAR 2026  ·  Rule 20(9)  ·  Data Protection Act, 2019</w:t>
            </w:r>
          </w:p>
          <w:p>
            <w:pPr>
              <w:spacing w:after="60" w:before="0"/>
              <w:ind w:left="120"/>
            </w:pPr>
            <w:r>
              <w:rPr>
                <w:rFonts w:ascii="Calibri" w:cs="Calibri" w:eastAsia="Calibri" w:hAnsi="Calibri"/>
                <w:b/>
                <w:bCs/>
                <w:color w:val="FFFFFF"/>
                <w:sz w:val="26"/>
                <w:szCs w:val="26"/>
              </w:rPr>
              <w:t xml:space="preserve">AISTAR PRIVACY NOTICE</w:t>
            </w:r>
          </w:p>
        </w:tc>
      </w:tr>
    </w:tbl>
    <w:p>
      <w:pPr>
        <w:pBdr>
          <w:bottom w:val="single" w:color="B8963E" w:sz="4"/>
        </w:pBdr>
        <w:spacing w:after="120" w:before="80"/>
      </w:pPr>
      <w:r>
        <w:rPr>
          <w:rFonts w:ascii="Calibri" w:cs="Calibri" w:eastAsia="Calibri" w:hAnsi="Calibri"/>
          <w:i/>
          <w:iCs/>
          <w:color w:val="4A5A70"/>
          <w:sz w:val="17"/>
          <w:szCs w:val="17"/>
        </w:rPr>
        <w:t xml:space="preserve">This Privacy Notice accompanies Form B4 (Notice of Proceedings) and forms an integral part of it  ·  </w:t>
      </w:r>
      <w:r>
        <w:rPr>
          <w:rFonts w:ascii="Calibri" w:cs="Calibri" w:eastAsia="Calibri" w:hAnsi="Calibri"/>
          <w:color w:val="4A5A70"/>
          <w:sz w:val="17"/>
          <w:szCs w:val="17"/>
        </w:rPr>
        <w:t xml:space="preserve">Aluochier Dispute Resolution  ·  aluochier.co.ke</w:t>
      </w:r>
    </w:p>
    <w:p>
      <w:pPr>
        <w:spacing w:after="80" w:before="0"/>
      </w:pPr>
    </w:p>
    <w:p>
      <w:pPr>
        <w:pBdr>
          <w:left w:val="single" w:color="B8963E" w:sz="12"/>
        </w:pBdr>
        <w:spacing w:after="80" w:before="80"/>
        <w:ind w:left="200"/>
      </w:pPr>
      <w:r>
        <w:rPr>
          <w:rFonts w:ascii="Calibri" w:cs="Calibri" w:eastAsia="Calibri" w:hAnsi="Calibri"/>
          <w:i w:val="false"/>
          <w:iCs w:val="false"/>
          <w:color w:val="000000"/>
          <w:sz w:val="18"/>
          <w:szCs w:val="18"/>
        </w:rPr>
        <w:t xml:space="preserve">Aluochier Dispute Resolution (ADR), a registered business name of Serveyah Limited, P O Box 436-40404, Rongo, Kenya, processes personal data in connection with succession proceedings administered under AISTAR 2026. This Privacy Notice is issued under Rule 20(9) of AISTAR 2026 and in compliance with the Data Protection Act, 2019 (Act No. 24 of 2019). Please read it carefully. It explains how and why your personal data is used, your rights, and how to contact us or the Data Protection Commissioner if you have concerns.</w:t>
      </w:r>
    </w:p>
    <w:p>
      <w:pPr>
        <w:spacing w:after="8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2800"/>
            <w:tcBorders>
              <w:top w:val="single" w:color="B8963E" w:sz="6"/>
              <w:left w:val="single" w:color="D0D8E4" w:sz="4"/>
              <w:bottom w:val="single" w:color="B8963E" w:sz="6"/>
              <w:right w:val="single" w:color="D0D8E4" w:sz="4"/>
            </w:tcBorders>
            <w:shd w:fill="0A1628" w:val="clear"/>
            <w:vAlign w:val="center"/>
          </w:tcPr>
          <w:p>
            <w:pPr>
              <w:spacing w:after="80" w:before="80"/>
              <w:ind w:left="80"/>
            </w:pPr>
            <w:r>
              <w:rPr>
                <w:rFonts w:ascii="Calibri" w:cs="Calibri" w:eastAsia="Calibri" w:hAnsi="Calibri"/>
                <w:b/>
                <w:bCs/>
                <w:color w:val="B8963E"/>
                <w:sz w:val="18"/>
                <w:szCs w:val="18"/>
              </w:rPr>
              <w:t xml:space="preserve">DATA PROTECTION ITEM</w:t>
            </w:r>
          </w:p>
        </w:tc>
        <w:tc>
          <w:tcPr>
            <w:tcBorders>
              <w:top w:val="single" w:color="B8963E" w:sz="6"/>
              <w:left w:val="single" w:color="D0D8E4" w:sz="4"/>
              <w:bottom w:val="single" w:color="B8963E" w:sz="6"/>
              <w:right w:val="single" w:color="D0D8E4" w:sz="4"/>
            </w:tcBorders>
            <w:shd w:fill="0A1628" w:val="clear"/>
            <w:vAlign w:val="center"/>
          </w:tcPr>
          <w:p>
            <w:pPr>
              <w:spacing w:after="80" w:before="80"/>
              <w:ind w:left="80"/>
            </w:pPr>
            <w:r>
              <w:rPr>
                <w:rFonts w:ascii="Calibri" w:cs="Calibri" w:eastAsia="Calibri" w:hAnsi="Calibri"/>
                <w:b/>
                <w:bCs/>
                <w:color w:val="B8963E"/>
                <w:sz w:val="18"/>
                <w:szCs w:val="18"/>
              </w:rPr>
              <w:t xml:space="preserve">INFORMATION</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(a) Data Controller &amp; Data Protection Officer
[Rule 20(9)(a)]</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Data Controller: Aluochier Dispute Resolution (ADR), a registered business name of Serveyah Limited. P O Box 436-40404, Rongo, Kenya. Email: info@aluochier.co.ke. Tel: +254 114 712 433. Website: aluochier.co.ke.
Data Protection Officer: Isaac Aluochier, Chief Adjudicator and President of Independent Tribunals (serving concurrently as DPO during the institutional establishment phase). Contact: as above.</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(b) Purposes of Processing
[Rule 20(9)(b)]</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Your personal data is processed for the following purposes:
1. Identifying and notifying all persons with a legal or constitutional interest in the estate of the deceased.
2. Administering adjudication, arbitration, or structured settlement proceedings under AISTAR 2026.
3. Verifying claims of beneficiaries, dependants, and creditors.
4. Issuing Determinations, Awards, and Certificates of Settlement and implementing estate transmissions.
5. Maintaining the AISTAR Permanent Registry and the AITAR Case Documentation System (ACDS).
6. Complying with legal obligations under the Constitution, Fair Administrative Action Act, Law of Succession Act, and applicable written law.
7. Communicating with public registries, financial institutions, and other Institutional Interested Parties for estate transmission purposes.
8. Statistical and institutional quality-assurance purposes (anonymised where possible).</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(c) Legal Basis for Processing
[Rule 20(9)(c)]</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Processing is based on one or more of the following legal grounds:
1. Legal obligation: processing is necessary to comply with the Constitution of Kenya (Articles 47, 48, 50), the Fair Administrative Action Act, and the Law of Succession Act.
2. Vital interests: where processing is necessary to protect the interests of minor beneficiaries, dependants, or persons under disability who cannot consent.
3. Public task: processing is necessary for the performance of a task carried out in the public interest — the constitutionally-grounded administration of estates — as an exercise of delegated sovereign authority under Article 1(3)(c) of the Constitution.
4. Legitimate interests: where processing is necessary for the legitimate institutional interest of ensuring accurate identification of beneficiaries and creditors, preventing intermeddling, and securing constitutive effect for certified Determinations.
Where special categories of personal data are processed (health, disability), the basis is the establishment, exercise, or defence of legal claims (section 30(1)(f) of the Data Protection Act, 2019).</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(d) Categories of Personal Data Collected
[Rule 20(9)(d)]</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We may collect and process the following categories of personal data:
• Identity data: full name, date of birth, national identification number, passport number, PIN.
• Contact data: postal address, email address, telephone number.
• Family and relationship data: relationship to the deceased, marital status, details of dependants and minor children.
• Financial data: details of estate assets and liabilities, bank account information, mobile money accounts, insurance policies, company interests.
• Land and property data: land titles, plot numbers, survey records.
• Documentary data: copies of national ID, birth certificates, death certificates, Wills, and supporting documents.
• Special categories (where relevant): health or disability status of a beneficiary or dependant, to assess vulnerability and protection needs.
• Digital data: email addresses, digital asset details, online account information relevant to the estate.
Data is collected directly from you, from other parties to the proceedings, from public registries, and from institutional sources in the course of proceedings.</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(e) Recipients of Personal Data
[Rule 20(9)(e)]</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Your personal data may be shared with the following categories of recipients, strictly for estate administration purposes:
1. Appointed Tribunal members, Facilitators, and Supervisory Review Tribunal members for the specific matter.
2. Institutional Interested Parties — land registries, financial institutions, banks, insurance companies, company registrars, mobile money platforms, and cooperative societies — to the extent necessary to give effect to a certified Determination or Certificate of Settlement.
3. The AITAR Digital Gazette, for publication of notices as required by AISTAR 2026 (abridged, without sensitive personal data).
4. The High Court of Kenya, in the exercise of its supervisory jurisdiction under Article 165(6), or in the context of judicial review, enforcement, or other proceedings.
5. The Commission on Administrative Justice, where a complaint is lodged.
6. Any person appointed by the Tribunal as an expert, assessor, or specialist.
7. Law enforcement or regulatory authorities where required by written law.
Personal data is not shared with third parties for commercial or marketing purposes.</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(f) Storage Period
[Rule 20(9)(f)]</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Estate records are retained in the AISTAR Permanent Registry for a minimum of FIFTY (50) YEARS from the date of issuance of the Certificate of Finality or Certificate of Settlement, in accordance with Rule 33(7) of AISTAR 2026 and institutional retention policies. This period reflects the long-term nature of estate and land title records, the need to support verification of certified instruments over time, and the requirements of applicable written law.
AI-generated working drafts and other ancillary processing records are deleted once incorporated into the final Determination or Award, unless retention is required for audit purposes (Schedule J, AISTAR 2026).
Upon expiry of the retention period, records are disposed of in a secure manner consistent with the Data Protection Act, 2019.</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(g) Your Rights as a Data Subject
[Rule 20(9)(g)]</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Under the Data Protection Act, 2019 (sections 26–35), you have the following rights in relation to your personal data held by ADR:
• Right of access: to obtain confirmation of whether your personal data is being processed and to receive a copy of it.
• Right to rectification: to have inaccurate personal data corrected without undue delay.
• Right to erasure: to have personal data erased in certain circumstances (where processing is no longer necessary, or unlawful), subject to overriding legal obligations including the 50-year estate record retention requirement.
• Right to restriction of processing: to restrict processing in certain defined circumstances.
• Right to object: to object to processing based on public task or legitimate interests.
• Right to data portability: to receive your personal data in a structured, commonly-used format where processing is based on consent or contract and carried out by automated means.
• Right to withdraw consent: where processing is based on your consent, to withdraw it at any time without affecting the lawfulness of prior processing.
Exercise of these rights may be limited where processing is required by law, necessary for the performance of a legal task, or necessary for the establishment, exercise, or defence of legal claims.</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(h) Right to Lodge a Complaint
[Rule 20(9)(h)]</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If you consider that ADR has processed your personal data unlawfully or in breach of the Data Protection Act, 2019, you have the right to lodge a complaint with:
Office of the Data Protection Commissioner (ODPC)
Kenya Re Towers, Upper Hill, Nairobi
P O Box 41079-00100, Nairobi
Email: info@odpc.go.ke
Website: www.odpc.go.ke
Telephone: +254 20 310 1000
You may also, if you believe your personal data has been processed in a manner that violates your constitutional rights, seek relief from the High Court of Kenya under Article 22 of the Constitution.</w:t>
            </w:r>
          </w:p>
        </w:tc>
      </w:tr>
      <w:tr>
        <w:tc>
          <w:tcPr>
            <w:tcW w:type="dxa" w:w="2800"/>
            <w:tcBorders>
              <w:top w:val="single" w:color="D0D8E4" w:sz="4"/>
              <w:left w:val="single" w:color="D0D8E4" w:sz="4"/>
              <w:bottom w:val="single" w:color="D0D8E4" w:sz="4"/>
              <w:right w:val="single" w:color="D0D8E4" w:sz="4"/>
            </w:tcBorders>
            <w:shd w:fill="EEF2F8" w:val="clear"/>
            <w:vAlign w:val="top"/>
          </w:tcPr>
          <w:p>
            <w:pPr>
              <w:spacing w:after="60" w:before="60"/>
              <w:ind w:left="80"/>
            </w:pPr>
            <w:r>
              <w:rPr>
                <w:rFonts w:ascii="Calibri" w:cs="Calibri" w:eastAsia="Calibri" w:hAnsi="Calibri"/>
                <w:b/>
                <w:bCs/>
                <w:color w:val="0A1628"/>
                <w:sz w:val="17"/>
                <w:szCs w:val="17"/>
              </w:rPr>
              <w:t xml:space="preserve">(i) Statutory or Contractual Requirement
[Rule 20(9)(i)]</w:t>
            </w:r>
          </w:p>
        </w:tc>
        <w:tc>
          <w:tcPr>
            <w:tcBorders>
              <w:top w:val="single" w:color="D0D8E4" w:sz="4"/>
              <w:left w:val="single" w:color="D0D8E4" w:sz="4"/>
              <w:bottom w:val="single" w:color="D0D8E4" w:sz="4"/>
              <w:right w:val="single" w:color="D0D8E4" w:sz="4"/>
            </w:tcBorders>
            <w:vAlign w:val="top"/>
          </w:tcPr>
          <w:p>
            <w:pPr>
              <w:spacing w:after="60" w:before="60"/>
              <w:ind w:left="80" w:right="80"/>
            </w:pPr>
            <w:r>
              <w:rPr>
                <w:rFonts w:ascii="Calibri" w:cs="Calibri" w:eastAsia="Calibri" w:hAnsi="Calibri"/>
                <w:color w:val="000000"/>
                <w:sz w:val="17"/>
                <w:szCs w:val="17"/>
              </w:rPr>
              <w:t xml:space="preserve">Provision of personal data in these proceedings is a STATUTORY REQUIREMENT.
The processing of personal data is necessary to give effect to your constitutional rights and obligations under Articles 40, 47, 48, and 50 of the Constitution, the Fair Administrative Action Act, and the Law of Succession Act. The Tribunal is required by Rule 20(1) to notify every person whose rights may be affected and to ensure fair administrative action.
Consequences of failure to provide data: If you decline to provide personal data requested by the Tribunal or the Registrar, the Tribunal may proceed to determine the matter on the basis of the evidence available (Rule 20(7) / Rule 30). The Tribunal exercises inquisitorial powers and will take steps to protect the interests of beneficiaries who do not participate, particularly minors and persons under disability. Failure to disclose estate assets may result in sanctions under Rule 23(4).</w:t>
            </w:r>
          </w:p>
        </w:tc>
      </w:tr>
    </w:tbl>
    <w:p>
      <w:pPr>
        <w:spacing w:after="100" w:before="0"/>
      </w:pPr>
    </w:p>
    <w:p>
      <w:pPr>
        <w:pBdr>
          <w:bottom w:val="single" w:color="B8963E" w:sz="6"/>
        </w:pBdr>
        <w:spacing w:after="80" w:before="80"/>
      </w:pPr>
    </w:p>
    <w:p>
      <w:pPr>
        <w:spacing w:after="80" w:before="0"/>
      </w:pPr>
    </w:p>
    <w:p>
      <w:pPr>
        <w:spacing w:after="80" w:before="160"/>
      </w:pPr>
      <w:r>
        <w:rPr>
          <w:rFonts w:ascii="Calibri" w:cs="Calibri" w:eastAsia="Calibri" w:hAnsi="Calibri"/>
          <w:b/>
          <w:bCs/>
          <w:color w:val="0A1628"/>
          <w:sz w:val="22"/>
          <w:szCs w:val="22"/>
        </w:rPr>
        <w:t xml:space="preserve">HOW TO EXERCISE YOUR DATA SUBJECT RIGHTS</w:t>
      </w:r>
    </w:p>
    <w:p>
      <w:pPr>
        <w:spacing w:after="60" w:before="0"/>
        <w:jc w:val="left"/>
      </w:pPr>
      <w:r>
        <w:rPr>
          <w:rFonts w:ascii="Calibri" w:cs="Calibri" w:eastAsia="Calibri" w:hAnsi="Calibri"/>
          <w:b w:val="false"/>
          <w:bCs w:val="false"/>
          <w:i w:val="false"/>
          <w:iCs w:val="false"/>
          <w:color w:val="000000"/>
          <w:sz w:val="18"/>
          <w:szCs w:val="18"/>
        </w:rPr>
        <w:t xml:space="preserve">To exercise any of the rights listed in item (g) above, or to raise a concern about how your personal data is being processed in this matter, contact: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dxa" w:w="4800"/>
            <w:tcBorders>
              <w:top w:val="single" w:color="D0D8E4" w:sz="4"/>
              <w:left w:val="single" w:color="D0D8E4" w:sz="4"/>
              <w:bottom w:val="single" w:color="D0D8E4" w:sz="4"/>
              <w:right w:val="single" w:color="D0D8E4" w:sz="4"/>
            </w:tcBorders>
            <w:shd w:fill="EEF2F8" w:val="clear"/>
            <w:vAlign w:val="top"/>
          </w:tcPr>
          <w:p>
            <w:pPr>
              <w:spacing w:after="20" w:before="80"/>
              <w:jc w:val="left"/>
            </w:pPr>
            <w:r>
              <w:rPr>
                <w:rFonts w:ascii="Calibri" w:cs="Calibri" w:eastAsia="Calibri" w:hAnsi="Calibri"/>
                <w:b/>
                <w:bCs/>
                <w:i w:val="false"/>
                <w:iCs w:val="false"/>
                <w:color w:val="0A1628"/>
                <w:sz w:val="18"/>
                <w:szCs w:val="18"/>
              </w:rPr>
              <w:t xml:space="preserve">Data Protection Officer</w:t>
            </w:r>
          </w:p>
          <w:p>
            <w:pPr>
              <w:spacing w:after="20" w:before="0"/>
              <w:jc w:val="left"/>
            </w:pPr>
            <w:r>
              <w:rPr>
                <w:rFonts w:ascii="Calibri" w:cs="Calibri" w:eastAsia="Calibri" w:hAnsi="Calibri"/>
                <w:b w:val="false"/>
                <w:bCs w:val="false"/>
                <w:i w:val="false"/>
                <w:iCs w:val="false"/>
                <w:color w:val="000000"/>
                <w:sz w:val="18"/>
                <w:szCs w:val="18"/>
              </w:rPr>
              <w:t xml:space="preserve">Isaac Aluochier</w:t>
            </w:r>
          </w:p>
          <w:p>
            <w:pPr>
              <w:spacing w:after="20" w:before="0"/>
              <w:jc w:val="left"/>
            </w:pPr>
            <w:r>
              <w:rPr>
                <w:rFonts w:ascii="Calibri" w:cs="Calibri" w:eastAsia="Calibri" w:hAnsi="Calibri"/>
                <w:b w:val="false"/>
                <w:bCs w:val="false"/>
                <w:i/>
                <w:iCs/>
                <w:color w:val="4A5A70"/>
                <w:sz w:val="17"/>
                <w:szCs w:val="17"/>
              </w:rPr>
              <w:t xml:space="preserve">Chief Adjudicator and President of Independent Tribunals</w:t>
            </w:r>
          </w:p>
          <w:p>
            <w:pPr>
              <w:spacing w:after="20" w:before="0"/>
              <w:jc w:val="left"/>
            </w:pPr>
            <w:r>
              <w:rPr>
                <w:rFonts w:ascii="Calibri" w:cs="Calibri" w:eastAsia="Calibri" w:hAnsi="Calibri"/>
                <w:b w:val="false"/>
                <w:bCs w:val="false"/>
                <w:i w:val="false"/>
                <w:iCs w:val="false"/>
                <w:color w:val="000000"/>
                <w:sz w:val="18"/>
                <w:szCs w:val="18"/>
              </w:rPr>
              <w:t xml:space="preserve">Aluochier Dispute Resolution</w:t>
            </w:r>
          </w:p>
          <w:p>
            <w:pPr>
              <w:spacing w:after="20" w:before="0"/>
              <w:jc w:val="left"/>
            </w:pPr>
            <w:r>
              <w:rPr>
                <w:rFonts w:ascii="Calibri" w:cs="Calibri" w:eastAsia="Calibri" w:hAnsi="Calibri"/>
                <w:b w:val="false"/>
                <w:bCs w:val="false"/>
                <w:i w:val="false"/>
                <w:iCs w:val="false"/>
                <w:color w:val="000000"/>
                <w:sz w:val="18"/>
                <w:szCs w:val="18"/>
              </w:rPr>
              <w:t xml:space="preserve">P O Box 436-40404, Rongo, Kenya</w:t>
            </w:r>
          </w:p>
          <w:p>
            <w:pPr>
              <w:spacing w:after="20" w:before="0"/>
              <w:jc w:val="left"/>
            </w:pPr>
            <w:r>
              <w:rPr>
                <w:rFonts w:ascii="Calibri" w:cs="Calibri" w:eastAsia="Calibri" w:hAnsi="Calibri"/>
                <w:b w:val="false"/>
                <w:bCs w:val="false"/>
                <w:i w:val="false"/>
                <w:iCs w:val="false"/>
                <w:color w:val="000000"/>
                <w:sz w:val="18"/>
                <w:szCs w:val="18"/>
              </w:rPr>
              <w:t xml:space="preserve">Email: info@aluochier.co.ke</w:t>
            </w:r>
          </w:p>
          <w:p>
            <w:pPr>
              <w:spacing w:after="80" w:before="0"/>
              <w:jc w:val="left"/>
            </w:pPr>
            <w:r>
              <w:rPr>
                <w:rFonts w:ascii="Calibri" w:cs="Calibri" w:eastAsia="Calibri" w:hAnsi="Calibri"/>
                <w:b w:val="false"/>
                <w:bCs w:val="false"/>
                <w:i w:val="false"/>
                <w:iCs w:val="false"/>
                <w:color w:val="000000"/>
                <w:sz w:val="18"/>
                <w:szCs w:val="18"/>
              </w:rPr>
              <w:t xml:space="preserve">Tel / WhatsApp: +254 114 712 433</w:t>
            </w:r>
          </w:p>
        </w:tc>
        <w:tc>
          <w:tcPr>
            <w:tcBorders>
              <w:top w:val="single" w:color="D0D8E4" w:sz="4"/>
              <w:left w:val="single" w:color="D0D8E4" w:sz="4"/>
              <w:bottom w:val="single" w:color="D0D8E4" w:sz="4"/>
              <w:right w:val="single" w:color="D0D8E4" w:sz="4"/>
            </w:tcBorders>
            <w:vAlign w:val="top"/>
          </w:tcPr>
          <w:p>
            <w:pPr>
              <w:spacing w:after="20" w:before="80"/>
              <w:jc w:val="left"/>
            </w:pPr>
            <w:r>
              <w:rPr>
                <w:rFonts w:ascii="Calibri" w:cs="Calibri" w:eastAsia="Calibri" w:hAnsi="Calibri"/>
                <w:b/>
                <w:bCs/>
                <w:i w:val="false"/>
                <w:iCs w:val="false"/>
                <w:color w:val="0A1628"/>
                <w:sz w:val="18"/>
                <w:szCs w:val="18"/>
              </w:rPr>
              <w:t xml:space="preserve">Response Timeline</w:t>
            </w:r>
          </w:p>
          <w:p>
            <w:pPr>
              <w:spacing w:after="40" w:before="0"/>
              <w:jc w:val="left"/>
            </w:pPr>
            <w:r>
              <w:rPr>
                <w:rFonts w:ascii="Calibri" w:cs="Calibri" w:eastAsia="Calibri" w:hAnsi="Calibri"/>
                <w:b w:val="false"/>
                <w:bCs w:val="false"/>
                <w:i w:val="false"/>
                <w:iCs w:val="false"/>
                <w:color w:val="000000"/>
                <w:sz w:val="17"/>
                <w:szCs w:val="17"/>
              </w:rPr>
              <w:t xml:space="preserve">We will respond to data subject rights requests within thirty (30) days of receipt. Where a request is complex or numerous, we may extend this period by a further thirty days and will notify you of the extension and the reasons within the first thirty days.</w:t>
            </w:r>
          </w:p>
          <w:p>
            <w:pPr>
              <w:spacing w:after="20" w:before="0"/>
              <w:jc w:val="left"/>
            </w:pPr>
            <w:r>
              <w:rPr>
                <w:rFonts w:ascii="Calibri" w:cs="Calibri" w:eastAsia="Calibri" w:hAnsi="Calibri"/>
                <w:b/>
                <w:bCs/>
                <w:i w:val="false"/>
                <w:iCs w:val="false"/>
                <w:color w:val="0A1628"/>
                <w:sz w:val="18"/>
                <w:szCs w:val="18"/>
              </w:rPr>
              <w:t xml:space="preserve">Identity Verification</w:t>
            </w:r>
          </w:p>
          <w:p>
            <w:pPr>
              <w:spacing w:after="80" w:before="0"/>
              <w:jc w:val="left"/>
            </w:pPr>
            <w:r>
              <w:rPr>
                <w:rFonts w:ascii="Calibri" w:cs="Calibri" w:eastAsia="Calibri" w:hAnsi="Calibri"/>
                <w:b w:val="false"/>
                <w:bCs w:val="false"/>
                <w:i w:val="false"/>
                <w:iCs w:val="false"/>
                <w:color w:val="000000"/>
                <w:sz w:val="17"/>
                <w:szCs w:val="17"/>
              </w:rPr>
              <w:t xml:space="preserve">We may ask you to verify your identity before processing your request. This is to protect your personal data and prevent unauthorised access.</w:t>
            </w:r>
          </w:p>
        </w:tc>
      </w:tr>
    </w:tbl>
    <w:p>
      <w:pPr>
        <w:spacing w:after="100" w:before="0"/>
      </w:pPr>
    </w:p>
    <w:p>
      <w:pPr>
        <w:pBdr>
          <w:bottom w:val="single" w:color="B8963E" w:sz="6"/>
        </w:pBdr>
        <w:spacing w:after="80" w:before="80"/>
      </w:pPr>
    </w:p>
    <w:p>
      <w:pPr>
        <w:spacing w:after="60" w:before="0"/>
      </w:pPr>
    </w:p>
    <w:p>
      <w:pPr>
        <w:spacing w:after="80" w:before="160"/>
      </w:pPr>
      <w:r>
        <w:rPr>
          <w:rFonts w:ascii="Calibri" w:cs="Calibri" w:eastAsia="Calibri" w:hAnsi="Calibri"/>
          <w:b/>
          <w:bCs/>
          <w:color w:val="0A1628"/>
          <w:sz w:val="22"/>
          <w:szCs w:val="22"/>
        </w:rPr>
        <w:t xml:space="preserve">ACKNOWLEDGEMENT OF RECEIPT OF PRIVACY NOTICE</w:t>
      </w:r>
    </w:p>
    <w:p>
      <w:pPr>
        <w:spacing w:after="60" w:before="60"/>
      </w:pPr>
      <w:r>
        <w:rPr>
          <w:rFonts w:ascii="Calibri" w:cs="Calibri" w:eastAsia="Calibri" w:hAnsi="Calibri"/>
          <w:i/>
          <w:iCs/>
          <w:color w:val="4A5A70"/>
          <w:sz w:val="16"/>
          <w:szCs w:val="16"/>
        </w:rPr>
        <w:t xml:space="preserve">This section is optional. You may sign below to confirm receipt of this Privacy Notice. This is for administrative record-keeping purposes only and does not affect your substantive rights.</w:t>
      </w:r>
    </w:p>
    <w:p>
      <w:pPr>
        <w:spacing w:after="60" w:before="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Borders>
              <w:top w:val="single" w:color="D0D8E4" w:sz="4"/>
              <w:left w:val="single" w:color="D0D8E4" w:sz="4"/>
              <w:bottom w:val="single" w:color="D0D8E4" w:sz="4"/>
              <w:right w:val="single" w:color="D0D8E4" w:sz="4"/>
            </w:tcBorders>
            <w:shd w:fill="EEF2F8" w:val="clear"/>
          </w:tcPr>
          <w:p>
            <w:pPr>
              <w:spacing w:after="40" w:before="60"/>
              <w:jc w:val="left"/>
            </w:pPr>
            <w:r>
              <w:rPr>
                <w:rFonts w:ascii="Calibri" w:cs="Calibri" w:eastAsia="Calibri" w:hAnsi="Calibri"/>
                <w:b/>
                <w:bCs/>
                <w:i w:val="false"/>
                <w:iCs w:val="false"/>
                <w:color w:val="0A1628"/>
                <w:sz w:val="18"/>
                <w:szCs w:val="18"/>
              </w:rPr>
              <w:t xml:space="preserve">Full Name:</w:t>
            </w:r>
          </w:p>
          <w:p>
            <w:pPr>
              <w:spacing w:after="60" w:before="0"/>
              <w:jc w:val="left"/>
            </w:pPr>
            <w:r>
              <w:rPr>
                <w:rFonts w:ascii="Calibri" w:cs="Calibri" w:eastAsia="Calibri" w:hAnsi="Calibri"/>
                <w:b w:val="false"/>
                <w:bCs w:val="false"/>
                <w:i w:val="false"/>
                <w:iCs w:val="false"/>
                <w:color w:val="D0D8E4"/>
                <w:sz w:val="18"/>
                <w:szCs w:val="18"/>
              </w:rPr>
              <w:t xml:space="preserve">_____________________________</w:t>
            </w:r>
          </w:p>
        </w:tc>
        <w:tc>
          <w:tcPr>
            <w:tcBorders>
              <w:top w:val="single" w:color="D0D8E4" w:sz="4"/>
              <w:left w:val="single" w:color="D0D8E4" w:sz="4"/>
              <w:bottom w:val="single" w:color="D0D8E4" w:sz="4"/>
              <w:right w:val="single" w:color="D0D8E4" w:sz="4"/>
            </w:tcBorders>
            <w:shd w:fill="EEF2F8" w:val="clear"/>
          </w:tcPr>
          <w:p>
            <w:pPr>
              <w:spacing w:after="40" w:before="60"/>
              <w:jc w:val="left"/>
            </w:pPr>
            <w:r>
              <w:rPr>
                <w:rFonts w:ascii="Calibri" w:cs="Calibri" w:eastAsia="Calibri" w:hAnsi="Calibri"/>
                <w:b/>
                <w:bCs/>
                <w:i w:val="false"/>
                <w:iCs w:val="false"/>
                <w:color w:val="0A1628"/>
                <w:sz w:val="18"/>
                <w:szCs w:val="18"/>
              </w:rPr>
              <w:t xml:space="preserve">Signature:</w:t>
            </w:r>
          </w:p>
          <w:p>
            <w:pPr>
              <w:spacing w:after="60" w:before="0"/>
              <w:jc w:val="left"/>
            </w:pPr>
            <w:r>
              <w:rPr>
                <w:rFonts w:ascii="Calibri" w:cs="Calibri" w:eastAsia="Calibri" w:hAnsi="Calibri"/>
                <w:b w:val="false"/>
                <w:bCs w:val="false"/>
                <w:i w:val="false"/>
                <w:iCs w:val="false"/>
                <w:color w:val="D0D8E4"/>
                <w:sz w:val="18"/>
                <w:szCs w:val="18"/>
              </w:rPr>
              <w:t xml:space="preserve">_____________________________</w:t>
            </w:r>
          </w:p>
        </w:tc>
        <w:tc>
          <w:tcPr>
            <w:tcBorders>
              <w:top w:val="single" w:color="D0D8E4" w:sz="4"/>
              <w:left w:val="single" w:color="D0D8E4" w:sz="4"/>
              <w:bottom w:val="single" w:color="D0D8E4" w:sz="4"/>
              <w:right w:val="single" w:color="D0D8E4" w:sz="4"/>
            </w:tcBorders>
            <w:shd w:fill="EEF2F8" w:val="clear"/>
          </w:tcPr>
          <w:p>
            <w:pPr>
              <w:spacing w:after="40" w:before="60"/>
              <w:jc w:val="left"/>
            </w:pPr>
            <w:r>
              <w:rPr>
                <w:rFonts w:ascii="Calibri" w:cs="Calibri" w:eastAsia="Calibri" w:hAnsi="Calibri"/>
                <w:b/>
                <w:bCs/>
                <w:i w:val="false"/>
                <w:iCs w:val="false"/>
                <w:color w:val="0A1628"/>
                <w:sz w:val="18"/>
                <w:szCs w:val="18"/>
              </w:rPr>
              <w:t xml:space="preserve">Date:</w:t>
            </w:r>
          </w:p>
          <w:p>
            <w:pPr>
              <w:spacing w:after="60" w:before="0"/>
              <w:jc w:val="left"/>
            </w:pPr>
            <w:r>
              <w:rPr>
                <w:rFonts w:ascii="Calibri" w:cs="Calibri" w:eastAsia="Calibri" w:hAnsi="Calibri"/>
                <w:b w:val="false"/>
                <w:bCs w:val="false"/>
                <w:i w:val="false"/>
                <w:iCs w:val="false"/>
                <w:color w:val="D0D8E4"/>
                <w:sz w:val="18"/>
                <w:szCs w:val="18"/>
              </w:rPr>
              <w:t xml:space="preserve">_____________________________</w:t>
            </w:r>
          </w:p>
        </w:tc>
      </w:tr>
    </w:tbl>
    <w:p>
      <w:pPr>
        <w:spacing w:after="80" w:before="0"/>
      </w:pPr>
    </w:p>
    <w:p>
      <w:pPr>
        <w:spacing w:after="60" w:before="60"/>
      </w:pPr>
      <w:r>
        <w:rPr>
          <w:rFonts w:ascii="Calibri" w:cs="Calibri" w:eastAsia="Calibri" w:hAnsi="Calibri"/>
          <w:i/>
          <w:iCs/>
          <w:color w:val="4A5A70"/>
          <w:sz w:val="16"/>
          <w:szCs w:val="16"/>
        </w:rPr>
        <w:t xml:space="preserve">This Privacy Notice was issued under Rule 20(9) of AISTAR 2026 Sixth Edition (Revised 19 April 2026). It forms an integral part of Form B4 (Notice of Proceedings). Aluochier Dispute Resolution is registered as a Data Controller with the Office of the Data Protection Commissioner as required by the Data Protection Act, 2019.</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963E" w:sz="4"/>
      </w:pBdr>
      <w:spacing w:before="80"/>
      <w:jc w:val="center"/>
    </w:pPr>
    <w:r>
      <w:rPr>
        <w:rFonts w:ascii="Calibri" w:cs="Calibri" w:eastAsia="Calibri" w:hAnsi="Calibri"/>
        <w:color w:val="4A5A70"/>
        <w:sz w:val="16"/>
        <w:szCs w:val="16"/>
      </w:rPr>
      <w:t xml:space="preserve">AISTAR 2026 Form B4 (Revised — Rule 20(9) Privacy Notice)  ·  Aluochier Dispute Resolution  ·  Sixth Edition (Revised 19 April 2026)  ·  Page </w:t>
    </w:r>
    <w:r>
      <w:rPr>
        <w:rFonts w:ascii="Calibri" w:cs="Calibri" w:eastAsia="Calibri" w:hAnsi="Calibri"/>
        <w:color w:val="4A5A70"/>
        <w:sz w:val="16"/>
        <w:szCs w:val="16"/>
      </w:rPr>
      <w:fldChar w:fldCharType="begin"/>
      <w:instrText xml:space="preserve">PAGE</w:instrText>
      <w:fldChar w:fldCharType="separate"/>
      <w:fldChar w:fldCharType="end"/>
    </w:r>
    <w:r>
      <w:rPr>
        <w:rFonts w:ascii="Calibri" w:cs="Calibri" w:eastAsia="Calibri" w:hAnsi="Calibri"/>
        <w:color w:val="4A5A70"/>
        <w:sz w:val="16"/>
        <w:szCs w:val="16"/>
      </w:rPr>
      <w:t xml:space="preserve"> of </w:t>
    </w:r>
    <w:r>
      <w:rPr>
        <w:rFonts w:ascii="Calibri" w:cs="Calibri" w:eastAsia="Calibri" w:hAnsi="Calibri"/>
        <w:color w:val="4A5A7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2026-04-26T08:33:52.281Z</dcterms:created>
  <dcterms:modified xsi:type="dcterms:W3CDTF">2026-04-26T08:33:52.282Z</dcterms:modified>
</cp:coreProperties>
</file>

<file path=docProps/custom.xml><?xml version="1.0" encoding="utf-8"?>
<Properties xmlns="http://schemas.openxmlformats.org/officeDocument/2006/custom-properties" xmlns:vt="http://schemas.openxmlformats.org/officeDocument/2006/docPropsVTypes"/>
</file>