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80" w:hRule="exact"/>
        </w:trPr>
        <w:tc>
          <w:tcPr>
            <w:tcW w:type="dxa" w:w="2000"/>
            <w:tcBorders>
              <w:top w:val="nil"/>
              <w:left w:val="nil"/>
              <w:bottom w:val="nil"/>
              <w:right w:val="nil"/>
            </w:tcBorders>
            <w:shd w:fill="0A1628" w:val="clear"/>
            <w:vAlign w:val="center"/>
          </w:tcPr>
          <w:p>
            <w:pPr>
              <w:spacing w:after="0" w:before="80"/>
              <w:jc w:val="center"/>
            </w:pPr>
            <w:r>
              <w:rPr>
                <w:rFonts w:ascii="Calibri" w:cs="Calibri" w:eastAsia="Calibri" w:hAnsi="Calibri"/>
                <w:b/>
                <w:bCs/>
                <w:color w:val="B8963E"/>
                <w:sz w:val="36"/>
                <w:szCs w:val="36"/>
              </w:rPr>
              <w:t xml:space="preserve">B50</w:t>
            </w:r>
          </w:p>
        </w:tc>
        <w:tc>
          <w:tcPr>
            <w:tcBorders>
              <w:top w:val="nil"/>
              <w:left w:val="nil"/>
              <w:bottom w:val="nil"/>
              <w:right w:val="nil"/>
            </w:tcBorders>
            <w:shd w:fill="0A1628" w:val="clear"/>
            <w:vAlign w:val="center"/>
          </w:tcPr>
          <w:p>
            <w:pPr>
              <w:spacing w:after="20" w:before="80"/>
              <w:ind w:left="120"/>
            </w:pPr>
            <w:r>
              <w:rPr>
                <w:rFonts w:ascii="Calibri" w:cs="Calibri" w:eastAsia="Calibri" w:hAnsi="Calibri"/>
                <w:color w:val="B8963E"/>
                <w:sz w:val="17"/>
                <w:szCs w:val="17"/>
              </w:rPr>
              <w:t xml:space="preserve">AISTAR 2026  ·  Seventh Edition  ·  TPD 09/2026  ·  Rules 27A, 27B, 27C</w:t>
            </w:r>
          </w:p>
          <w:p>
            <w:pPr>
              <w:spacing w:after="60" w:before="0"/>
              <w:ind w:left="120"/>
            </w:pPr>
            <w:r>
              <w:rPr>
                <w:rFonts w:ascii="Calibri" w:cs="Calibri" w:eastAsia="Calibri" w:hAnsi="Calibri"/>
                <w:b/>
                <w:bCs/>
                <w:color w:val="FFFFFF"/>
                <w:sz w:val="26"/>
                <w:szCs w:val="26"/>
              </w:rPr>
              <w:t xml:space="preserve">BEST INTERESTS FINDING — MINOR BENEFICIARY</w:t>
            </w:r>
          </w:p>
        </w:tc>
      </w:tr>
    </w:tbl>
    <w:p>
      <w:pPr>
        <w:pBdr>
          <w:bottom w:val="single" w:color="B8963E" w:sz="4"/>
        </w:pBdr>
        <w:spacing w:after="100" w:before="80"/>
      </w:pPr>
      <w:r>
        <w:rPr>
          <w:rFonts w:ascii="Calibri" w:cs="Calibri" w:eastAsia="Calibri" w:hAnsi="Calibri"/>
          <w:color w:val="4A5A70"/>
          <w:sz w:val="17"/>
          <w:szCs w:val="17"/>
        </w:rPr>
        <w:t xml:space="preserve">Aluochier Dispute Resolution  ·  </w:t>
      </w:r>
      <w:r>
        <w:rPr>
          <w:rFonts w:ascii="Calibri" w:cs="Calibri" w:eastAsia="Calibri" w:hAnsi="Calibri"/>
          <w:i/>
          <w:iCs/>
          <w:color w:val="4A5A70"/>
          <w:sz w:val="17"/>
          <w:szCs w:val="17"/>
        </w:rPr>
        <w:t xml:space="preserve">Rule 27A(4) / Rule 27B(3) / TPD 09/2026</w:t>
      </w:r>
      <w:r>
        <w:rPr>
          <w:rFonts w:ascii="Calibri" w:cs="Calibri" w:eastAsia="Calibri" w:hAnsi="Calibri"/>
          <w:color w:val="4A5A70"/>
          <w:sz w:val="17"/>
          <w:szCs w:val="17"/>
        </w:rPr>
        <w:t xml:space="preserve">  ·  AISTAR 2026 Seventh Edition (26 April 2026)</w:t>
      </w:r>
    </w:p>
    <w:p>
      <w:pPr>
        <w:spacing w:after="10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B8963E" w:sz="8"/>
              <w:left w:val="single" w:color="B8963E" w:sz="8"/>
              <w:bottom w:val="single" w:color="B8963E" w:sz="8"/>
              <w:right w:val="single" w:color="B8963E" w:sz="8"/>
            </w:tcBorders>
            <w:shd w:fill="EEF2F8" w:val="clear"/>
            <w:vAlign w:val="top"/>
          </w:tcPr>
          <w:p>
            <w:pPr>
              <w:spacing w:after="80" w:before="0"/>
              <w:jc w:val="center"/>
            </w:pPr>
            <w:r>
              <w:rPr>
                <w:rFonts w:ascii="Calibri" w:cs="Calibri" w:eastAsia="Calibri" w:hAnsi="Calibri"/>
                <w:b/>
                <w:bCs/>
                <w:i w:val="false"/>
                <w:iCs w:val="false"/>
                <w:color w:val="0A1628"/>
                <w:sz w:val="18"/>
                <w:szCs w:val="18"/>
              </w:rPr>
              <w:t xml:space="preserve">FOR REGISTRY USE ONLY</w:t>
            </w:r>
          </w:p>
          <w:p>
            <w:pPr>
              <w:spacing w:after="80" w:before="0"/>
              <w:jc w:val="left"/>
            </w:pPr>
            <w:r>
              <w:rPr>
                <w:rFonts w:ascii="Calibri" w:cs="Calibri" w:eastAsia="Calibri" w:hAnsi="Calibri"/>
                <w:b/>
                <w:bCs/>
                <w:i w:val="false"/>
                <w:iCs w:val="false"/>
                <w:color w:val="0A1628"/>
                <w:sz w:val="18"/>
                <w:szCs w:val="18"/>
              </w:rPr>
              <w:t xml:space="preserve">Registry Case Identifier:  </w:t>
            </w:r>
            <w:r>
              <w:rPr>
                <w:rFonts w:ascii="Calibri" w:cs="Calibri" w:eastAsia="Calibri" w:hAnsi="Calibri"/>
                <w:b w:val="false"/>
                <w:bCs w:val="false"/>
                <w:i w:val="false"/>
                <w:iCs w:val="false"/>
                <w:color w:val="4A5A70"/>
                <w:sz w:val="18"/>
                <w:szCs w:val="18"/>
              </w:rPr>
              <w:t xml:space="preserve">AISTAR-____-________</w:t>
            </w:r>
            <w:r>
              <w:rPr>
                <w:rFonts w:ascii="Calibri" w:cs="Calibri" w:eastAsia="Calibri" w:hAnsi="Calibri"/>
                <w:b/>
                <w:bCs/>
                <w:i w:val="false"/>
                <w:iCs w:val="false"/>
                <w:color w:val="0A1628"/>
                <w:sz w:val="18"/>
                <w:szCs w:val="18"/>
              </w:rPr>
              <w:t xml:space="preserve">          Date Filed:  </w:t>
            </w:r>
            <w:r>
              <w:rPr>
                <w:rFonts w:ascii="Calibri" w:cs="Calibri" w:eastAsia="Calibri" w:hAnsi="Calibri"/>
                <w:b w:val="false"/>
                <w:bCs w:val="false"/>
                <w:i w:val="false"/>
                <w:iCs w:val="false"/>
                <w:color w:val="4A5A70"/>
                <w:sz w:val="18"/>
                <w:szCs w:val="18"/>
              </w:rPr>
              <w:t xml:space="preserve">_______________</w:t>
            </w:r>
          </w:p>
          <w:p>
            <w:pPr>
              <w:spacing w:after="80" w:before="0"/>
              <w:jc w:val="left"/>
            </w:pPr>
            <w:r>
              <w:rPr>
                <w:rFonts w:ascii="Calibri" w:cs="Calibri" w:eastAsia="Calibri" w:hAnsi="Calibri"/>
                <w:b/>
                <w:bCs/>
                <w:i w:val="false"/>
                <w:iCs w:val="false"/>
                <w:color w:val="0A1628"/>
                <w:sz w:val="18"/>
                <w:szCs w:val="18"/>
              </w:rPr>
              <w:t xml:space="preserve">Form Reference:  </w:t>
            </w:r>
            <w:r>
              <w:rPr>
                <w:rFonts w:ascii="Calibri" w:cs="Calibri" w:eastAsia="Calibri" w:hAnsi="Calibri"/>
                <w:b w:val="false"/>
                <w:bCs w:val="false"/>
                <w:i w:val="false"/>
                <w:iCs w:val="false"/>
                <w:color w:val="4A5A70"/>
                <w:sz w:val="18"/>
                <w:szCs w:val="18"/>
              </w:rPr>
              <w:t xml:space="preserve">B50-____-____</w:t>
            </w:r>
            <w:r>
              <w:rPr>
                <w:rFonts w:ascii="Calibri" w:cs="Calibri" w:eastAsia="Calibri" w:hAnsi="Calibri"/>
                <w:b/>
                <w:bCs/>
                <w:i w:val="false"/>
                <w:iCs w:val="false"/>
                <w:color w:val="0A1628"/>
                <w:sz w:val="18"/>
                <w:szCs w:val="18"/>
              </w:rPr>
              <w:t xml:space="preserve">          Proceeding Type:  </w:t>
            </w:r>
            <w:r>
              <w:rPr>
                <w:rFonts w:ascii="Calibri" w:cs="Calibri" w:eastAsia="Calibri" w:hAnsi="Calibri"/>
                <w:b w:val="false"/>
                <w:bCs w:val="false"/>
                <w:i/>
                <w:iCs/>
                <w:color w:val="4A5A70"/>
                <w:sz w:val="17"/>
                <w:szCs w:val="17"/>
              </w:rPr>
              <w:t xml:space="preserve">Adjudication / Arbitration / SST / Consent Determination</w:t>
            </w:r>
          </w:p>
        </w:tc>
      </w:tr>
    </w:tbl>
    <w:p>
      <w:pPr>
        <w:spacing w:after="100" w:before="0"/>
      </w:pPr>
    </w:p>
    <w:p>
      <w:pPr>
        <w:pBdr>
          <w:left w:val="single" w:color="B8963E" w:sz="12"/>
        </w:pBdr>
        <w:spacing w:after="80" w:before="80"/>
        <w:ind w:left="200"/>
      </w:pPr>
      <w:r>
        <w:rPr>
          <w:rFonts w:ascii="Calibri" w:cs="Calibri" w:eastAsia="Calibri" w:hAnsi="Calibri"/>
          <w:i w:val="false"/>
          <w:iCs w:val="false"/>
          <w:color w:val="000000"/>
          <w:sz w:val="18"/>
          <w:szCs w:val="18"/>
        </w:rPr>
        <w:t xml:space="preserve">MANDATORY FORM: This Form must be completed and signed by the Tribunal member (or Facilitator, in SST proceedings) before any Determination, Award, Consent Determination, or Certificate of Settlement that affects the succession rights of a minor is issued. It shall be annexed to the instrument and deposited in the AISTAR Permanent Registry. It may not be omitted except where the Tribunal records in writing, with reasons, that the minor's interests are adequately represented by a party with no conflict of interest (Rule 27A(4)(a)).</w:t>
      </w:r>
    </w:p>
    <w:p>
      <w:pPr>
        <w:spacing w:after="80" w:before="0"/>
      </w:pPr>
    </w:p>
    <w:p>
      <w:pPr>
        <w:spacing w:after="80" w:before="160"/>
      </w:pPr>
      <w:r>
        <w:rPr>
          <w:rFonts w:ascii="Calibri" w:cs="Calibri" w:eastAsia="Calibri" w:hAnsi="Calibri"/>
          <w:b/>
          <w:bCs/>
          <w:color w:val="0A1628"/>
          <w:sz w:val="22"/>
          <w:szCs w:val="22"/>
        </w:rPr>
        <w:t xml:space="preserve">PART A — CASE AND MINOR IDENTIFICATION</w:t>
      </w:r>
    </w:p>
    <w:p>
      <w:pPr>
        <w:spacing w:after="40" w:before="40"/>
      </w:pPr>
      <w:r>
        <w:rPr>
          <w:rFonts w:ascii="Calibri" w:cs="Calibri" w:eastAsia="Calibri" w:hAnsi="Calibri"/>
          <w:i/>
          <w:iCs/>
          <w:color w:val="4A5A70"/>
          <w:sz w:val="16"/>
          <w:szCs w:val="16"/>
        </w:rPr>
        <w:t xml:space="preserve">The minor's full name is not to appear in any published version of this Form. Refer to the minor by initials only in all fields. The full name is recorded in the sealed Registry file.</w:t>
      </w:r>
    </w:p>
    <w:p>
      <w:pPr>
        <w:spacing w:after="4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3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Registry Case Identifier</w:t>
            </w:r>
          </w:p>
        </w:tc>
        <w:tc>
          <w:tcPr>
            <w:tcW w:type="dxa" w:w="68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3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Name of Deceased</w:t>
            </w:r>
          </w:p>
        </w:tc>
        <w:tc>
          <w:tcPr>
            <w:tcW w:type="dxa" w:w="68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rHeight w:val="340" w:hRule="exact"/>
        </w:trPr>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Minor's Initials (not full name)</w:t>
            </w:r>
          </w:p>
        </w:tc>
        <w:tc>
          <w:tcPr>
            <w:tcW w:type="dxa" w:w="2800"/>
            <w:tcBorders>
              <w:top w:val="single" w:color="D0D8E4" w:sz="4"/>
              <w:left w:val="nil"/>
              <w:bottom w:val="single" w:color="D0D8E4" w:sz="4"/>
              <w:right w:val="single" w:color="D0D8E4" w:sz="4"/>
            </w:tcBorders>
            <w:vAlign w:val="bottom"/>
          </w:tcPr>
          <w:p>
            <w:pPr>
              <w:spacing w:after="0" w:before="0"/>
            </w:pPr>
          </w:p>
        </w:tc>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Date of Birth of Minor</w:t>
            </w:r>
          </w:p>
        </w:tc>
        <w:tc>
          <w:tcPr>
            <w:tcW w:type="dxa" w:w="28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rHeight w:val="340" w:hRule="exact"/>
        </w:trPr>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Minor's Current Age</w:t>
            </w:r>
          </w:p>
        </w:tc>
        <w:tc>
          <w:tcPr>
            <w:tcW w:type="dxa" w:w="2800"/>
            <w:tcBorders>
              <w:top w:val="single" w:color="D0D8E4" w:sz="4"/>
              <w:left w:val="nil"/>
              <w:bottom w:val="single" w:color="D0D8E4" w:sz="4"/>
              <w:right w:val="single" w:color="D0D8E4" w:sz="4"/>
            </w:tcBorders>
            <w:vAlign w:val="bottom"/>
          </w:tcPr>
          <w:p>
            <w:pPr>
              <w:spacing w:after="0" w:before="0"/>
            </w:pPr>
          </w:p>
        </w:tc>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Gender (optional — record only if relevant to entitlement)</w:t>
            </w:r>
          </w:p>
        </w:tc>
        <w:tc>
          <w:tcPr>
            <w:tcW w:type="dxa" w:w="28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3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Minor's Relationship to Deceased</w:t>
            </w:r>
          </w:p>
        </w:tc>
        <w:tc>
          <w:tcPr>
            <w:tcW w:type="dxa" w:w="68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3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Minor's Current Guardian / Carer — Name and Relationship</w:t>
            </w:r>
          </w:p>
        </w:tc>
        <w:tc>
          <w:tcPr>
            <w:tcW w:type="dxa" w:w="68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3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Minor's Current Address / Place of Residence (general area only)</w:t>
            </w:r>
          </w:p>
        </w:tc>
        <w:tc>
          <w:tcPr>
            <w:tcW w:type="dxa" w:w="6800"/>
            <w:tcBorders>
              <w:top w:val="single" w:color="D0D8E4" w:sz="4"/>
              <w:left w:val="nil"/>
              <w:bottom w:val="single" w:color="D0D8E4" w:sz="4"/>
              <w:right w:val="single" w:color="D0D8E4" w:sz="4"/>
            </w:tcBorders>
            <w:vAlign w:val="bottom"/>
          </w:tcPr>
          <w:p>
            <w:pPr>
              <w:spacing w:after="0" w:before="0"/>
            </w:pPr>
          </w:p>
        </w:tc>
      </w:tr>
    </w:tbl>
    <w:p>
      <w:pPr>
        <w:spacing w:after="80" w:before="0"/>
      </w:pPr>
    </w:p>
    <w:p>
      <w:pPr>
        <w:spacing w:after="80" w:before="160"/>
      </w:pPr>
      <w:r>
        <w:rPr>
          <w:rFonts w:ascii="Calibri" w:cs="Calibri" w:eastAsia="Calibri" w:hAnsi="Calibri"/>
          <w:b/>
          <w:bCs/>
          <w:color w:val="0A1628"/>
          <w:sz w:val="22"/>
          <w:szCs w:val="22"/>
        </w:rPr>
        <w:t xml:space="preserve">PART B — NATURE AND VALUE OF MINOR'S ENTITLEMENT</w:t>
      </w:r>
    </w:p>
    <w:p>
      <w:pPr>
        <w:spacing w:after="4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3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Nature of Entitlement (statutory / testamentary / dependant's provision)</w:t>
            </w:r>
          </w:p>
        </w:tc>
        <w:tc>
          <w:tcPr>
            <w:tcW w:type="dxa" w:w="68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1020" w:hRule="exact"/>
        </w:trPr>
        <w:tc>
          <w:tcPr>
            <w:tcW w:type="dxa" w:w="3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Specific Assets Comprising Minor's Entitlement</w:t>
            </w:r>
          </w:p>
        </w:tc>
        <w:tc>
          <w:tcPr>
            <w:tcW w:type="dxa" w:w="68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rHeight w:val="340" w:hRule="exact"/>
        </w:trPr>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Gross Value of Minor's Entitlement (KES)</w:t>
            </w:r>
          </w:p>
        </w:tc>
        <w:tc>
          <w:tcPr>
            <w:tcW w:type="dxa" w:w="2800"/>
            <w:tcBorders>
              <w:top w:val="single" w:color="D0D8E4" w:sz="4"/>
              <w:left w:val="nil"/>
              <w:bottom w:val="single" w:color="D0D8E4" w:sz="4"/>
              <w:right w:val="single" w:color="D0D8E4" w:sz="4"/>
            </w:tcBorders>
            <w:vAlign w:val="bottom"/>
          </w:tcPr>
          <w:p>
            <w:pPr>
              <w:spacing w:after="0" w:before="0"/>
            </w:pPr>
          </w:p>
        </w:tc>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Estimated Net Value after Liabilities (KES)</w:t>
            </w:r>
          </w:p>
        </w:tc>
        <w:tc>
          <w:tcPr>
            <w:tcW w:type="dxa" w:w="2800"/>
            <w:tcBorders>
              <w:top w:val="single" w:color="D0D8E4" w:sz="4"/>
              <w:left w:val="nil"/>
              <w:bottom w:val="single" w:color="D0D8E4" w:sz="4"/>
              <w:right w:val="single" w:color="D0D8E4" w:sz="4"/>
            </w:tcBorders>
            <w:vAlign w:val="bottom"/>
          </w:tcPr>
          <w:p>
            <w:pPr>
              <w:spacing w:after="0" w:before="0"/>
            </w:pPr>
          </w:p>
        </w:tc>
      </w:tr>
    </w:tbl>
    <w:p>
      <w:pPr>
        <w:spacing w:after="80" w:before="0"/>
      </w:pPr>
    </w:p>
    <w:p>
      <w:pPr>
        <w:spacing w:after="40" w:before="80"/>
      </w:pPr>
      <w:r>
        <w:rPr>
          <w:rFonts w:ascii="Calibri" w:cs="Calibri" w:eastAsia="Calibri" w:hAnsi="Calibri"/>
          <w:b/>
          <w:bCs/>
          <w:color w:val="0A1628"/>
          <w:sz w:val="18"/>
          <w:szCs w:val="18"/>
        </w:rPr>
        <w:t xml:space="preserve">FORM TRACK — tick applicable track based on value of minor's share:</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TRACK 1 — Summary Best-Interests Finding   (minor's share is less than KES 500,000)   →  complete Parts A, B, C, D, and G only</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TRACK 2 — Detailed Best-Interests Analysis   (minor's share equals or exceeds KES 500,000)   →  complete all Parts A through G</w:t>
      </w:r>
    </w:p>
    <w:p>
      <w:pPr>
        <w:spacing w:after="40" w:before="40"/>
      </w:pPr>
      <w:r>
        <w:rPr>
          <w:rFonts w:ascii="Calibri" w:cs="Calibri" w:eastAsia="Calibri" w:hAnsi="Calibri"/>
          <w:i/>
          <w:iCs/>
          <w:color w:val="4A5A70"/>
          <w:sz w:val="16"/>
          <w:szCs w:val="16"/>
        </w:rPr>
        <w:t xml:space="preserve">Track determination is based on the gross value of the minor's entitlement as assessed at the time of completing this Form. Where the value is uncertain, the higher track applies.</w:t>
      </w:r>
    </w:p>
    <w:p>
      <w:pPr>
        <w:spacing w:after="80" w:before="0"/>
      </w:pPr>
    </w:p>
    <w:p>
      <w:pPr>
        <w:spacing w:after="80" w:before="160"/>
      </w:pPr>
      <w:r>
        <w:rPr>
          <w:rFonts w:ascii="Calibri" w:cs="Calibri" w:eastAsia="Calibri" w:hAnsi="Calibri"/>
          <w:b/>
          <w:bCs/>
          <w:color w:val="0A1628"/>
          <w:sz w:val="22"/>
          <w:szCs w:val="22"/>
        </w:rPr>
        <w:t xml:space="preserve">PART C — GUARDIAN AD LITEM</w:t>
      </w:r>
    </w:p>
    <w:p>
      <w:pPr>
        <w:spacing w:after="40" w:before="0"/>
      </w:pPr>
    </w:p>
    <w:p>
      <w:pPr>
        <w:spacing w:after="60" w:before="100"/>
      </w:pPr>
      <w:r>
        <w:rPr>
          <w:rFonts w:ascii="Calibri" w:cs="Calibri" w:eastAsia="Calibri" w:hAnsi="Calibri"/>
          <w:b/>
          <w:bCs/>
          <w:color w:val="0A1628"/>
          <w:sz w:val="19"/>
          <w:szCs w:val="19"/>
        </w:rPr>
        <w:t xml:space="preserve">C1. Adequacy of Existing Representation</w:t>
      </w:r>
    </w:p>
    <w:p>
      <w:pPr>
        <w:spacing w:after="40" w:before="40"/>
      </w:pPr>
      <w:r>
        <w:rPr>
          <w:rFonts w:ascii="Calibri" w:cs="Calibri" w:eastAsia="Calibri" w:hAnsi="Calibri"/>
          <w:i/>
          <w:iCs/>
          <w:color w:val="4A5A70"/>
          <w:sz w:val="16"/>
          <w:szCs w:val="16"/>
        </w:rPr>
        <w:t xml:space="preserve">A minor's interests are presumed not to be adequately represented in the circumstances listed at Rule 27A(2). The Tribunal must make an express finding.</w:t>
      </w:r>
    </w:p>
    <w:p>
      <w:pPr>
        <w:spacing w:after="40" w:before="0"/>
      </w:pP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The minor's interests ARE adequately represented by an existing party with no conflict of interest.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3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Name and Role of Existing Representative</w:t>
            </w:r>
          </w:p>
        </w:tc>
        <w:tc>
          <w:tcPr>
            <w:tcW w:type="dxa" w:w="68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1020" w:hRule="exact"/>
        </w:trPr>
        <w:tc>
          <w:tcPr>
            <w:tcW w:type="dxa" w:w="3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Basis for Finding of Adequate Representation (written reasons required — Rule 27A(4)(a))</w:t>
            </w:r>
          </w:p>
        </w:tc>
        <w:tc>
          <w:tcPr>
            <w:tcW w:type="dxa" w:w="6800"/>
            <w:tcBorders>
              <w:top w:val="single" w:color="D0D8E4" w:sz="4"/>
              <w:left w:val="nil"/>
              <w:bottom w:val="single" w:color="D0D8E4" w:sz="4"/>
              <w:right w:val="single" w:color="D0D8E4" w:sz="4"/>
            </w:tcBorders>
            <w:vAlign w:val="bottom"/>
          </w:tcPr>
          <w:p>
            <w:pPr>
              <w:spacing w:after="0" w:before="0"/>
            </w:pPr>
          </w:p>
        </w:tc>
      </w:tr>
    </w:tbl>
    <w:p>
      <w:pPr>
        <w:spacing w:after="80" w:before="0"/>
      </w:pP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The minor's interests are NOT adequately represented. Grounds (tick all applicable):</w:t>
      </w:r>
    </w:p>
    <w:p>
      <w:pPr>
        <w:spacing w:after="40" w:before="40"/>
        <w:ind w:left="40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(a) the minor's guardian is also a beneficiary with a conflicting interest (Rule 27A(2)(a))</w:t>
      </w:r>
    </w:p>
    <w:p>
      <w:pPr>
        <w:spacing w:after="40" w:before="40"/>
        <w:ind w:left="40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(b) the minor is not a party and no person has been expressly appointed to represent the minor (Rule 27A(2)(b))</w:t>
      </w:r>
    </w:p>
    <w:p>
      <w:pPr>
        <w:spacing w:after="40" w:before="40"/>
        <w:ind w:left="40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(c) the proposed distribution allocates to the minor less than the statutory entitlement under sections 26–35 of the Law of Succession Act without a finding that a different allocation is in the minor's best interests (Rule 27A(2)(c))</w:t>
      </w:r>
    </w:p>
    <w:p>
      <w:pPr>
        <w:spacing w:after="80" w:before="0"/>
      </w:pPr>
    </w:p>
    <w:p>
      <w:pPr>
        <w:spacing w:after="60" w:before="100"/>
      </w:pPr>
      <w:r>
        <w:rPr>
          <w:rFonts w:ascii="Calibri" w:cs="Calibri" w:eastAsia="Calibri" w:hAnsi="Calibri"/>
          <w:b/>
          <w:bCs/>
          <w:color w:val="0A1628"/>
          <w:sz w:val="19"/>
          <w:szCs w:val="19"/>
        </w:rPr>
        <w:t xml:space="preserve">C2. Guardian ad Litem Details</w:t>
      </w:r>
    </w:p>
    <w:p>
      <w:pPr>
        <w:spacing w:after="40" w:before="40"/>
      </w:pPr>
      <w:r>
        <w:rPr>
          <w:rFonts w:ascii="Calibri" w:cs="Calibri" w:eastAsia="Calibri" w:hAnsi="Calibri"/>
          <w:i/>
          <w:iCs/>
          <w:color w:val="4A5A70"/>
          <w:sz w:val="16"/>
          <w:szCs w:val="16"/>
        </w:rPr>
        <w:t xml:space="preserve">Where the minor's interests are not adequately represented, the Tribunal shall appoint a guardian ad litem from the AISTAR Roster (Tier C — Specialists) under Rule 27A(3)(a). Complete this section.</w:t>
      </w:r>
    </w:p>
    <w:p>
      <w:pPr>
        <w:spacing w:after="40" w:before="0"/>
      </w:pP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Guardian ad litem appointed (Rule 27A(3)(a)) — complete fields below</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Guardian ad litem not appointed — adequate representation finding made above (Rule 27A(4)(a))</w:t>
      </w:r>
    </w:p>
    <w:p>
      <w:pPr>
        <w:spacing w:after="4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3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Full Name of Guardian ad litem</w:t>
            </w:r>
          </w:p>
        </w:tc>
        <w:tc>
          <w:tcPr>
            <w:tcW w:type="dxa" w:w="68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3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AISTAR Roster Reference (Tier C — Specialist)</w:t>
            </w:r>
          </w:p>
        </w:tc>
        <w:tc>
          <w:tcPr>
            <w:tcW w:type="dxa" w:w="68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80" w:hRule="exact"/>
        </w:trPr>
        <w:tc>
          <w:tcPr>
            <w:tcW w:type="dxa" w:w="3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Qualifications (Children Act 2022 / Law of Succession Act / child protection or family law experience)</w:t>
            </w:r>
          </w:p>
        </w:tc>
        <w:tc>
          <w:tcPr>
            <w:tcW w:type="dxa" w:w="68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3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Confirmation of No Conflict of Interest</w:t>
            </w:r>
          </w:p>
        </w:tc>
        <w:tc>
          <w:tcPr>
            <w:tcW w:type="dxa" w:w="68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3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Date of Appointment</w:t>
            </w:r>
          </w:p>
        </w:tc>
        <w:tc>
          <w:tcPr>
            <w:tcW w:type="dxa" w:w="6800"/>
            <w:tcBorders>
              <w:top w:val="single" w:color="D0D8E4" w:sz="4"/>
              <w:left w:val="nil"/>
              <w:bottom w:val="single" w:color="D0D8E4" w:sz="4"/>
              <w:right w:val="single" w:color="D0D8E4" w:sz="4"/>
            </w:tcBorders>
            <w:vAlign w:val="bottom"/>
          </w:tcPr>
          <w:p>
            <w:pPr>
              <w:spacing w:after="0" w:before="0"/>
            </w:pPr>
          </w:p>
        </w:tc>
      </w:tr>
    </w:tbl>
    <w:p>
      <w:pPr>
        <w:spacing w:after="80" w:before="0"/>
      </w:pPr>
    </w:p>
    <w:p>
      <w:pPr>
        <w:spacing w:after="60" w:before="100"/>
      </w:pPr>
      <w:r>
        <w:rPr>
          <w:rFonts w:ascii="Calibri" w:cs="Calibri" w:eastAsia="Calibri" w:hAnsi="Calibri"/>
          <w:b/>
          <w:bCs/>
          <w:color w:val="0A1628"/>
          <w:sz w:val="19"/>
          <w:szCs w:val="19"/>
        </w:rPr>
        <w:t xml:space="preserve">C3. Guardian ad Litem Report</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Independent report received from guardian ad litem under Rule 27A(3)(b)(ii)  —  Date of Report: _________________</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Report not yet received — proceedings shall not be finalised until receipt  (Rule 27A(4)(a))</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1360" w:hRule="exact"/>
        </w:trPr>
        <w:tc>
          <w:tcPr>
            <w:tcW w:type="dxa" w:w="3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Summary of Key Findings in Guardian ad Litem Report</w:t>
            </w:r>
          </w:p>
        </w:tc>
        <w:tc>
          <w:tcPr>
            <w:tcW w:type="dxa" w:w="68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3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Costs of Guardian ad Litem (KES) — first charge on estate under section 83(c) LSA (Rule 27A(3)(c))</w:t>
            </w:r>
          </w:p>
        </w:tc>
        <w:tc>
          <w:tcPr>
            <w:tcW w:type="dxa" w:w="6800"/>
            <w:tcBorders>
              <w:top w:val="single" w:color="D0D8E4" w:sz="4"/>
              <w:left w:val="nil"/>
              <w:bottom w:val="single" w:color="D0D8E4" w:sz="4"/>
              <w:right w:val="single" w:color="D0D8E4" w:sz="4"/>
            </w:tcBorders>
            <w:vAlign w:val="bottom"/>
          </w:tcPr>
          <w:p>
            <w:pPr>
              <w:spacing w:after="0" w:before="0"/>
            </w:pPr>
          </w:p>
        </w:tc>
      </w:tr>
    </w:tbl>
    <w:p>
      <w:pPr>
        <w:spacing w:after="80" w:before="0"/>
      </w:pPr>
    </w:p>
    <w:p>
      <w:pPr>
        <w:spacing w:after="80" w:before="160"/>
      </w:pPr>
      <w:r>
        <w:rPr>
          <w:rFonts w:ascii="Calibri" w:cs="Calibri" w:eastAsia="Calibri" w:hAnsi="Calibri"/>
          <w:b/>
          <w:bCs/>
          <w:color w:val="0A1628"/>
          <w:sz w:val="22"/>
          <w:szCs w:val="22"/>
        </w:rPr>
        <w:t xml:space="preserve">PART D — ORAL HEARING (Rule 27B(2)(b))</w:t>
      </w:r>
    </w:p>
    <w:p>
      <w:pPr>
        <w:spacing w:after="40" w:before="40"/>
      </w:pPr>
      <w:r>
        <w:rPr>
          <w:rFonts w:ascii="Calibri" w:cs="Calibri" w:eastAsia="Calibri" w:hAnsi="Calibri"/>
          <w:i/>
          <w:iCs/>
          <w:color w:val="4A5A70"/>
          <w:sz w:val="16"/>
          <w:szCs w:val="16"/>
        </w:rPr>
        <w:t xml:space="preserve">An oral hearing, conducted in chambers if appropriate, is required where this Form applies (Rule 27B(2)(b)). It may be dispensed with only where the guardian ad litem requirement has also been dispensed with under Rule 27A(4)(a).</w:t>
      </w:r>
    </w:p>
    <w:p>
      <w:pPr>
        <w:spacing w:after="40" w:before="0"/>
      </w:pP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Oral hearing conducted in accordance with Rule 27B(2)(b)</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rHeight w:val="340" w:hRule="exact"/>
        </w:trPr>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Date of Oral Hearing</w:t>
            </w:r>
          </w:p>
        </w:tc>
        <w:tc>
          <w:tcPr>
            <w:tcW w:type="dxa" w:w="2800"/>
            <w:tcBorders>
              <w:top w:val="single" w:color="D0D8E4" w:sz="4"/>
              <w:left w:val="nil"/>
              <w:bottom w:val="single" w:color="D0D8E4" w:sz="4"/>
              <w:right w:val="single" w:color="D0D8E4" w:sz="4"/>
            </w:tcBorders>
            <w:vAlign w:val="bottom"/>
          </w:tcPr>
          <w:p>
            <w:pPr>
              <w:spacing w:after="0" w:before="0"/>
            </w:pPr>
          </w:p>
        </w:tc>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Mode (In person / Video link / Telephone)</w:t>
            </w:r>
          </w:p>
        </w:tc>
        <w:tc>
          <w:tcPr>
            <w:tcW w:type="dxa" w:w="28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80" w:hRule="exact"/>
        </w:trPr>
        <w:tc>
          <w:tcPr>
            <w:tcW w:type="dxa" w:w="3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Persons Who Addressed the Tribunal / Facilitator at the Oral Hearing</w:t>
            </w:r>
          </w:p>
        </w:tc>
        <w:tc>
          <w:tcPr>
            <w:tcW w:type="dxa" w:w="68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Oral hearing not conducted — guardian ad litem dispensed with under Rule 27A(4)(a) and no conflict exists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80" w:hRule="exact"/>
        </w:trPr>
        <w:tc>
          <w:tcPr>
            <w:tcW w:type="dxa" w:w="3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Reasons for Dispensing with Oral Hearing</w:t>
            </w:r>
          </w:p>
        </w:tc>
        <w:tc>
          <w:tcPr>
            <w:tcW w:type="dxa" w:w="6800"/>
            <w:tcBorders>
              <w:top w:val="single" w:color="D0D8E4" w:sz="4"/>
              <w:left w:val="nil"/>
              <w:bottom w:val="single" w:color="D0D8E4" w:sz="4"/>
              <w:right w:val="single" w:color="D0D8E4" w:sz="4"/>
            </w:tcBorders>
            <w:vAlign w:val="bottom"/>
          </w:tcPr>
          <w:p>
            <w:pPr>
              <w:spacing w:after="0" w:before="0"/>
            </w:pPr>
          </w:p>
        </w:tc>
      </w:tr>
    </w:tbl>
    <w:p>
      <w:pPr>
        <w:spacing w:after="80" w:before="0"/>
      </w:pPr>
    </w:p>
    <w:p>
      <w:pPr>
        <w:spacing w:after="80" w:before="160"/>
      </w:pPr>
      <w:r>
        <w:rPr>
          <w:rFonts w:ascii="Calibri" w:cs="Calibri" w:eastAsia="Calibri" w:hAnsi="Calibri"/>
          <w:b/>
          <w:bCs/>
          <w:color w:val="0A1628"/>
          <w:sz w:val="22"/>
          <w:szCs w:val="22"/>
        </w:rPr>
        <w:t xml:space="preserve">PART E — PROPOSED TRUST OR CUSTODIAL ARRANGEMENT (Rule 27C)</w:t>
      </w:r>
    </w:p>
    <w:p>
      <w:pPr>
        <w:spacing w:after="40" w:before="40"/>
      </w:pPr>
      <w:r>
        <w:rPr>
          <w:rFonts w:ascii="Calibri" w:cs="Calibri" w:eastAsia="Calibri" w:hAnsi="Calibri"/>
          <w:i/>
          <w:iCs/>
          <w:color w:val="4A5A70"/>
          <w:sz w:val="16"/>
          <w:szCs w:val="16"/>
        </w:rPr>
        <w:t xml:space="preserve">A Determination, Consent Determination, or Certificate of Settlement that vests property in a minor shall not direct direct transfer to the minor unless the nominal-value exception (KES 100,000) or a written-reasons best-interests finding applies. In all other cases a trust or designated-account arrangement is required (Rule 27C(1)–(2)).</w:t>
      </w:r>
    </w:p>
    <w:p>
      <w:pPr>
        <w:spacing w:after="40" w:before="0"/>
      </w:pPr>
    </w:p>
    <w:p>
      <w:pPr>
        <w:spacing w:after="60" w:before="100"/>
      </w:pPr>
      <w:r>
        <w:rPr>
          <w:rFonts w:ascii="Calibri" w:cs="Calibri" w:eastAsia="Calibri" w:hAnsi="Calibri"/>
          <w:b/>
          <w:bCs/>
          <w:color w:val="0A1628"/>
          <w:sz w:val="19"/>
          <w:szCs w:val="19"/>
        </w:rPr>
        <w:t xml:space="preserve">E1. Arrangement Type</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Direct transfer to minor — NOMINAL VALUE EXCEPTION (share does not exceed KES 100,000 or current adjusted figure published in AITAR Digital Gazette) (Rule 27C(1)(a))</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Direct transfer to minor — BEST INTERESTS EXCEPTION with written reasons (Rule 27C(1)(b))  →  state reasons in Part F below</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Trust — trust corporation qualifying under section 3 of the Law of Succession Act (Rule 27C(2)(a)(i))</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Trust — two or more adult beneficiaries approved by Tribunal, to execute trust deed in prescribed form (Rule 27C(2)(a)(ii))</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Designated minor's account — financial institution with withdrawal restrictions until age 18 or Tribunal-directed age (Rule 27C(2)(b))</w:t>
      </w:r>
    </w:p>
    <w:p>
      <w:pPr>
        <w:spacing w:after="80" w:before="0"/>
      </w:pPr>
    </w:p>
    <w:p>
      <w:pPr>
        <w:spacing w:after="60" w:before="100"/>
      </w:pPr>
      <w:r>
        <w:rPr>
          <w:rFonts w:ascii="Calibri" w:cs="Calibri" w:eastAsia="Calibri" w:hAnsi="Calibri"/>
          <w:b/>
          <w:bCs/>
          <w:color w:val="0A1628"/>
          <w:sz w:val="19"/>
          <w:szCs w:val="19"/>
        </w:rPr>
        <w:t xml:space="preserve">E2. Trust / Designated Account Details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80" w:hRule="exact"/>
        </w:trPr>
        <w:tc>
          <w:tcPr>
            <w:tcW w:type="dxa" w:w="3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Name of Trustee(s) / Financial Institution</w:t>
            </w:r>
          </w:p>
        </w:tc>
        <w:tc>
          <w:tcPr>
            <w:tcW w:type="dxa" w:w="68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3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Type of Trust Corporation (if applicable) — section 3 LSA qualification confirmed?</w:t>
            </w:r>
          </w:p>
        </w:tc>
        <w:tc>
          <w:tcPr>
            <w:tcW w:type="dxa" w:w="68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rHeight w:val="340" w:hRule="exact"/>
        </w:trPr>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Trust Deed to be Executed by (date)</w:t>
            </w:r>
          </w:p>
        </w:tc>
        <w:tc>
          <w:tcPr>
            <w:tcW w:type="dxa" w:w="2800"/>
            <w:tcBorders>
              <w:top w:val="single" w:color="D0D8E4" w:sz="4"/>
              <w:left w:val="nil"/>
              <w:bottom w:val="single" w:color="D0D8E4" w:sz="4"/>
              <w:right w:val="single" w:color="D0D8E4" w:sz="4"/>
            </w:tcBorders>
            <w:vAlign w:val="bottom"/>
          </w:tcPr>
          <w:p>
            <w:pPr>
              <w:spacing w:after="0" w:before="0"/>
            </w:pPr>
          </w:p>
        </w:tc>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Age at which Restrictions Lift</w:t>
            </w:r>
          </w:p>
        </w:tc>
        <w:tc>
          <w:tcPr>
            <w:tcW w:type="dxa" w:w="28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80" w:hRule="exact"/>
        </w:trPr>
        <w:tc>
          <w:tcPr>
            <w:tcW w:type="dxa" w:w="3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Annual Reporting Obligation — trust corporation to file annual report with AISTAR Registry for 5 years or until age 18, whichever is earlier (Rule 27C(3))</w:t>
            </w:r>
          </w:p>
        </w:tc>
        <w:tc>
          <w:tcPr>
            <w:tcW w:type="dxa" w:w="68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3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Joinder of Financial Institution as Institutional Interested Party under Rule 21(8) — confirmed?</w:t>
            </w:r>
          </w:p>
        </w:tc>
        <w:tc>
          <w:tcPr>
            <w:tcW w:type="dxa" w:w="68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3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Withdrawal Restrictions Stated in Determination / Certificate of Settlement — confirmed?</w:t>
            </w:r>
          </w:p>
        </w:tc>
        <w:tc>
          <w:tcPr>
            <w:tcW w:type="dxa" w:w="6800"/>
            <w:tcBorders>
              <w:top w:val="single" w:color="D0D8E4" w:sz="4"/>
              <w:left w:val="nil"/>
              <w:bottom w:val="single" w:color="D0D8E4" w:sz="4"/>
              <w:right w:val="single" w:color="D0D8E4" w:sz="4"/>
            </w:tcBorders>
            <w:vAlign w:val="bottom"/>
          </w:tcPr>
          <w:p>
            <w:pPr>
              <w:spacing w:after="0" w:before="0"/>
            </w:pPr>
          </w:p>
        </w:tc>
      </w:tr>
    </w:tbl>
    <w:p>
      <w:pPr>
        <w:spacing w:after="80" w:before="0"/>
      </w:pPr>
    </w:p>
    <w:p>
      <w:pPr>
        <w:spacing w:after="80" w:before="160"/>
      </w:pPr>
      <w:r>
        <w:rPr>
          <w:rFonts w:ascii="Calibri" w:cs="Calibri" w:eastAsia="Calibri" w:hAnsi="Calibri"/>
          <w:b/>
          <w:bCs/>
          <w:color w:val="0A1628"/>
          <w:sz w:val="22"/>
          <w:szCs w:val="22"/>
        </w:rPr>
        <w:t xml:space="preserve">PART F — BEST-INTERESTS ANALYSIS (Rule 27B(3) / TPD 09/2026)</w:t>
      </w:r>
    </w:p>
    <w:p>
      <w:pPr>
        <w:spacing w:after="40" w:before="40"/>
      </w:pPr>
      <w:r>
        <w:rPr>
          <w:rFonts w:ascii="Calibri" w:cs="Calibri" w:eastAsia="Calibri" w:hAnsi="Calibri"/>
          <w:i/>
          <w:iCs/>
          <w:color w:val="4A5A70"/>
          <w:sz w:val="16"/>
          <w:szCs w:val="16"/>
        </w:rPr>
        <w:t xml:space="preserve">TRACK 2 only (minor's share ≥ KES 500,000). A detailed written analysis addressing all six factors in TPD 09/2026(1) is required. Track 1 matters require only the summary conclusion in Part G; the factors below need not be completed.</w:t>
      </w:r>
    </w:p>
    <w:p>
      <w:pPr>
        <w:spacing w:after="40" w:before="0"/>
      </w:pPr>
    </w:p>
    <w:p>
      <w:pPr>
        <w:spacing w:after="60" w:before="100"/>
      </w:pPr>
      <w:r>
        <w:rPr>
          <w:rFonts w:ascii="Calibri" w:cs="Calibri" w:eastAsia="Calibri" w:hAnsi="Calibri"/>
          <w:b/>
          <w:bCs/>
          <w:color w:val="0A1628"/>
          <w:sz w:val="19"/>
          <w:szCs w:val="19"/>
        </w:rPr>
        <w:t xml:space="preserve">Factor 1 — Age, Maturity, and Understanding  </w:t>
      </w:r>
      <w:r>
        <w:rPr>
          <w:rFonts w:ascii="Calibri" w:cs="Calibri" w:eastAsia="Calibri" w:hAnsi="Calibri"/>
          <w:i/>
          <w:iCs/>
          <w:color w:val="4A5A70"/>
          <w:sz w:val="18"/>
          <w:szCs w:val="18"/>
        </w:rPr>
        <w:t xml:space="preserve">(TPD 09/2026(1)(a))</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1020" w:hRule="exact"/>
        </w:trPr>
        <w:tc>
          <w:tcPr>
            <w:tcW w:type="dxa" w:w="3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Minor's age and assessed level of maturity; whether minor is capable of forming and expressing views (Article 53(2) of the Constitution)</w:t>
            </w:r>
          </w:p>
        </w:tc>
        <w:tc>
          <w:tcPr>
            <w:tcW w:type="dxa" w:w="68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60" w:before="100"/>
      </w:pPr>
      <w:r>
        <w:rPr>
          <w:rFonts w:ascii="Calibri" w:cs="Calibri" w:eastAsia="Calibri" w:hAnsi="Calibri"/>
          <w:b/>
          <w:bCs/>
          <w:color w:val="0A1628"/>
          <w:sz w:val="19"/>
          <w:szCs w:val="19"/>
        </w:rPr>
        <w:t xml:space="preserve">Factor 2 — Relationship with the Deceased  </w:t>
      </w:r>
      <w:r>
        <w:rPr>
          <w:rFonts w:ascii="Calibri" w:cs="Calibri" w:eastAsia="Calibri" w:hAnsi="Calibri"/>
          <w:i/>
          <w:iCs/>
          <w:color w:val="4A5A70"/>
          <w:sz w:val="18"/>
          <w:szCs w:val="18"/>
        </w:rPr>
        <w:t xml:space="preserve">(TPD 09/2026(1)(b))</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1020" w:hRule="exact"/>
        </w:trPr>
        <w:tc>
          <w:tcPr>
            <w:tcW w:type="dxa" w:w="3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Nature and quality of the minor's relationship with the deceased; proximity of relationship; dependency</w:t>
            </w:r>
          </w:p>
        </w:tc>
        <w:tc>
          <w:tcPr>
            <w:tcW w:type="dxa" w:w="68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60" w:before="100"/>
      </w:pPr>
      <w:r>
        <w:rPr>
          <w:rFonts w:ascii="Calibri" w:cs="Calibri" w:eastAsia="Calibri" w:hAnsi="Calibri"/>
          <w:b/>
          <w:bCs/>
          <w:color w:val="0A1628"/>
          <w:sz w:val="19"/>
          <w:szCs w:val="19"/>
        </w:rPr>
        <w:t xml:space="preserve">Factor 3 — Financial and Emotional Needs  </w:t>
      </w:r>
      <w:r>
        <w:rPr>
          <w:rFonts w:ascii="Calibri" w:cs="Calibri" w:eastAsia="Calibri" w:hAnsi="Calibri"/>
          <w:i/>
          <w:iCs/>
          <w:color w:val="4A5A70"/>
          <w:sz w:val="18"/>
          <w:szCs w:val="18"/>
        </w:rPr>
        <w:t xml:space="preserve">(TPD 09/2026(1)(c))</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1020" w:hRule="exact"/>
        </w:trPr>
        <w:tc>
          <w:tcPr>
            <w:tcW w:type="dxa" w:w="3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Current and future financial needs; emotional needs; any special requirements arising from disability or vulnerability</w:t>
            </w:r>
          </w:p>
        </w:tc>
        <w:tc>
          <w:tcPr>
            <w:tcW w:type="dxa" w:w="68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60" w:before="100"/>
      </w:pPr>
      <w:r>
        <w:rPr>
          <w:rFonts w:ascii="Calibri" w:cs="Calibri" w:eastAsia="Calibri" w:hAnsi="Calibri"/>
          <w:b/>
          <w:bCs/>
          <w:color w:val="0A1628"/>
          <w:sz w:val="19"/>
          <w:szCs w:val="19"/>
        </w:rPr>
        <w:t xml:space="preserve">Factor 4 — Existing Custodial or Guardianship Arrangements  </w:t>
      </w:r>
      <w:r>
        <w:rPr>
          <w:rFonts w:ascii="Calibri" w:cs="Calibri" w:eastAsia="Calibri" w:hAnsi="Calibri"/>
          <w:i/>
          <w:iCs/>
          <w:color w:val="4A5A70"/>
          <w:sz w:val="18"/>
          <w:szCs w:val="18"/>
        </w:rPr>
        <w:t xml:space="preserve">(TPD 09/2026(1)(d))</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1020" w:hRule="exact"/>
        </w:trPr>
        <w:tc>
          <w:tcPr>
            <w:tcW w:type="dxa" w:w="3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Current guardian's identity and capacity; any existing court order or parental responsibility arrangement; any conflict of interest between guardian and minor</w:t>
            </w:r>
          </w:p>
        </w:tc>
        <w:tc>
          <w:tcPr>
            <w:tcW w:type="dxa" w:w="68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60" w:before="100"/>
      </w:pPr>
      <w:r>
        <w:rPr>
          <w:rFonts w:ascii="Calibri" w:cs="Calibri" w:eastAsia="Calibri" w:hAnsi="Calibri"/>
          <w:b/>
          <w:bCs/>
          <w:color w:val="0A1628"/>
          <w:sz w:val="19"/>
          <w:szCs w:val="19"/>
        </w:rPr>
        <w:t xml:space="preserve">Factor 5 — Views of the Minor  </w:t>
      </w:r>
      <w:r>
        <w:rPr>
          <w:rFonts w:ascii="Calibri" w:cs="Calibri" w:eastAsia="Calibri" w:hAnsi="Calibri"/>
          <w:i/>
          <w:iCs/>
          <w:color w:val="4A5A70"/>
          <w:sz w:val="18"/>
          <w:szCs w:val="18"/>
        </w:rPr>
        <w:t xml:space="preserve">(TPD 09/2026(1)(e) / Article 53(2) of the Constitution)</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Minor is capable of forming and expressing views — views recorded and considered below</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Minor is not yet capable of forming and expressing views — age / reasons: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1020" w:hRule="exact"/>
        </w:trPr>
        <w:tc>
          <w:tcPr>
            <w:tcW w:type="dxa" w:w="3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Minor's Views (where capable) or Basis for Finding that Minor is Not Capable of Forming Views</w:t>
            </w:r>
          </w:p>
        </w:tc>
        <w:tc>
          <w:tcPr>
            <w:tcW w:type="dxa" w:w="68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60" w:before="100"/>
      </w:pPr>
      <w:r>
        <w:rPr>
          <w:rFonts w:ascii="Calibri" w:cs="Calibri" w:eastAsia="Calibri" w:hAnsi="Calibri"/>
          <w:b/>
          <w:bCs/>
          <w:color w:val="0A1628"/>
          <w:sz w:val="19"/>
          <w:szCs w:val="19"/>
        </w:rPr>
        <w:t xml:space="preserve">Factor 6 — Impact on Education, Health Care, and Housing  </w:t>
      </w:r>
      <w:r>
        <w:rPr>
          <w:rFonts w:ascii="Calibri" w:cs="Calibri" w:eastAsia="Calibri" w:hAnsi="Calibri"/>
          <w:i/>
          <w:iCs/>
          <w:color w:val="4A5A70"/>
          <w:sz w:val="18"/>
          <w:szCs w:val="18"/>
        </w:rPr>
        <w:t xml:space="preserve">(TPD 09/2026(1)(f))</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1360" w:hRule="exact"/>
        </w:trPr>
        <w:tc>
          <w:tcPr>
            <w:tcW w:type="dxa" w:w="3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Impact of the proposed distribution on the minor's access to education, health care, and housing; whether the proposed arrangement adequately safeguards these needs</w:t>
            </w:r>
          </w:p>
        </w:tc>
        <w:tc>
          <w:tcPr>
            <w:tcW w:type="dxa" w:w="6800"/>
            <w:tcBorders>
              <w:top w:val="single" w:color="D0D8E4" w:sz="4"/>
              <w:left w:val="nil"/>
              <w:bottom w:val="single" w:color="D0D8E4" w:sz="4"/>
              <w:right w:val="single" w:color="D0D8E4" w:sz="4"/>
            </w:tcBorders>
            <w:vAlign w:val="bottom"/>
          </w:tcPr>
          <w:p>
            <w:pPr>
              <w:spacing w:after="0" w:before="0"/>
            </w:pPr>
          </w:p>
        </w:tc>
      </w:tr>
    </w:tbl>
    <w:p>
      <w:pPr>
        <w:spacing w:after="80" w:before="0"/>
      </w:pPr>
    </w:p>
    <w:p>
      <w:pPr>
        <w:spacing w:after="80" w:before="160"/>
      </w:pPr>
      <w:r>
        <w:rPr>
          <w:rFonts w:ascii="Calibri" w:cs="Calibri" w:eastAsia="Calibri" w:hAnsi="Calibri"/>
          <w:b/>
          <w:bCs/>
          <w:color w:val="0A1628"/>
          <w:sz w:val="22"/>
          <w:szCs w:val="22"/>
        </w:rPr>
        <w:t xml:space="preserve">PART G — CONCLUSION AND BEST-INTERESTS FINDING (All Tracks)</w:t>
      </w:r>
    </w:p>
    <w:p>
      <w:pPr>
        <w:spacing w:after="40" w:before="0"/>
      </w:pPr>
    </w:p>
    <w:p>
      <w:pPr>
        <w:spacing w:after="60" w:before="80"/>
      </w:pPr>
      <w:r>
        <w:rPr>
          <w:rFonts w:ascii="Calibri" w:cs="Calibri" w:eastAsia="Calibri" w:hAnsi="Calibri"/>
          <w:b/>
          <w:bCs/>
          <w:color w:val="0A1628"/>
          <w:sz w:val="19"/>
          <w:szCs w:val="19"/>
        </w:rPr>
        <w:t xml:space="preserve">G1. Proposed Distribution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1360" w:hRule="exact"/>
        </w:trPr>
        <w:tc>
          <w:tcPr>
            <w:tcW w:type="dxa" w:w="3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Proposed Distribution to the Minor — description of assets, form of holding, and arrangement</w:t>
            </w:r>
          </w:p>
        </w:tc>
        <w:tc>
          <w:tcPr>
            <w:tcW w:type="dxa" w:w="68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1020" w:hRule="exact"/>
        </w:trPr>
        <w:tc>
          <w:tcPr>
            <w:tcW w:type="dxa" w:w="3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Comparison with Default Statutory Entitlement under sections 26–35 of the Law of Succession Act</w:t>
            </w:r>
          </w:p>
        </w:tc>
        <w:tc>
          <w:tcPr>
            <w:tcW w:type="dxa" w:w="68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1020" w:hRule="exact"/>
        </w:trPr>
        <w:tc>
          <w:tcPr>
            <w:tcW w:type="dxa" w:w="3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Where proposed distribution differs from statutory entitlement — reasons why different allocation is in the minor's best interests</w:t>
            </w:r>
          </w:p>
        </w:tc>
        <w:tc>
          <w:tcPr>
            <w:tcW w:type="dxa" w:w="6800"/>
            <w:tcBorders>
              <w:top w:val="single" w:color="D0D8E4" w:sz="4"/>
              <w:left w:val="nil"/>
              <w:bottom w:val="single" w:color="D0D8E4" w:sz="4"/>
              <w:right w:val="single" w:color="D0D8E4" w:sz="4"/>
            </w:tcBorders>
            <w:vAlign w:val="bottom"/>
          </w:tcPr>
          <w:p>
            <w:pPr>
              <w:spacing w:after="0" w:before="0"/>
            </w:pPr>
          </w:p>
        </w:tc>
      </w:tr>
    </w:tbl>
    <w:p>
      <w:pPr>
        <w:spacing w:after="80" w:before="0"/>
      </w:pPr>
    </w:p>
    <w:p>
      <w:pPr>
        <w:spacing w:after="60" w:before="80"/>
      </w:pPr>
      <w:r>
        <w:rPr>
          <w:rFonts w:ascii="Calibri" w:cs="Calibri" w:eastAsia="Calibri" w:hAnsi="Calibri"/>
          <w:b/>
          <w:bCs/>
          <w:color w:val="0A1628"/>
          <w:sz w:val="19"/>
          <w:szCs w:val="19"/>
        </w:rPr>
        <w:t xml:space="preserve">G2. Constitutional Best-Interests Finding (Article 53(2))</w:t>
      </w:r>
    </w:p>
    <w:p>
      <w:pPr>
        <w:spacing w:after="40" w:before="40"/>
      </w:pPr>
      <w:r>
        <w:rPr>
          <w:rFonts w:ascii="Calibri" w:cs="Calibri" w:eastAsia="Calibri" w:hAnsi="Calibri"/>
          <w:i/>
          <w:iCs/>
          <w:color w:val="4A5A70"/>
          <w:sz w:val="16"/>
          <w:szCs w:val="16"/>
        </w:rPr>
        <w:t xml:space="preserve">An express written finding under Article 53(2) of the Constitution is mandatory before issuing any instrument that affects a minor's succession rights (Rule 27A(4)(b)). The finding must be proportionate to the value of the entitlement per TPD 09/2026(2).</w:t>
      </w:r>
    </w:p>
    <w:p>
      <w:pPr>
        <w:spacing w:after="60" w:before="0"/>
      </w:pPr>
    </w:p>
    <w:p>
      <w:pPr>
        <w:spacing w:after="40" w:before="80"/>
      </w:pPr>
      <w:r>
        <w:rPr>
          <w:rFonts w:ascii="Calibri" w:cs="Calibri" w:eastAsia="Calibri" w:hAnsi="Calibri"/>
          <w:b/>
          <w:bCs/>
          <w:color w:val="4A5A70"/>
          <w:sz w:val="18"/>
          <w:szCs w:val="18"/>
        </w:rPr>
        <w:t xml:space="preserve">TRACK 1 — Summary Finding (share &lt; KES 500,000)</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1360" w:hRule="exact"/>
        </w:trPr>
        <w:tc>
          <w:tcPr>
            <w:tcW w:type="dxa" w:w="3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Summary Best-Interests Statement</w:t>
            </w:r>
          </w:p>
        </w:tc>
        <w:tc>
          <w:tcPr>
            <w:tcW w:type="dxa" w:w="68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40" w:before="80"/>
      </w:pPr>
      <w:r>
        <w:rPr>
          <w:rFonts w:ascii="Calibri" w:cs="Calibri" w:eastAsia="Calibri" w:hAnsi="Calibri"/>
          <w:b/>
          <w:bCs/>
          <w:color w:val="4A5A70"/>
          <w:sz w:val="18"/>
          <w:szCs w:val="18"/>
        </w:rPr>
        <w:t xml:space="preserve">TRACK 2 — Detailed Finding (share ≥ KES 500,000) — cross-reference factors in Part F</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1700" w:hRule="exact"/>
        </w:trPr>
        <w:tc>
          <w:tcPr>
            <w:tcW w:type="dxa" w:w="3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Detailed Best-Interests Conclusion — explain how the six factors, taken together, lead to the conclusion below</w:t>
            </w:r>
          </w:p>
        </w:tc>
        <w:tc>
          <w:tcPr>
            <w:tcW w:type="dxa" w:w="6800"/>
            <w:tcBorders>
              <w:top w:val="single" w:color="D0D8E4" w:sz="4"/>
              <w:left w:val="nil"/>
              <w:bottom w:val="single" w:color="D0D8E4" w:sz="4"/>
              <w:right w:val="single" w:color="D0D8E4" w:sz="4"/>
            </w:tcBorders>
            <w:vAlign w:val="bottom"/>
          </w:tcPr>
          <w:p>
            <w:pPr>
              <w:spacing w:after="0" w:before="0"/>
            </w:pPr>
          </w:p>
        </w:tc>
      </w:tr>
    </w:tbl>
    <w:p>
      <w:pPr>
        <w:spacing w:after="80" w:before="0"/>
      </w:pPr>
    </w:p>
    <w:p>
      <w:pPr>
        <w:spacing w:after="60" w:before="80"/>
      </w:pPr>
      <w:r>
        <w:rPr>
          <w:rFonts w:ascii="Calibri" w:cs="Calibri" w:eastAsia="Calibri" w:hAnsi="Calibri"/>
          <w:b/>
          <w:bCs/>
          <w:color w:val="0A1628"/>
          <w:sz w:val="19"/>
          <w:szCs w:val="19"/>
        </w:rPr>
        <w:t xml:space="preserve">G3. Formal Conclusion</w:t>
      </w:r>
    </w:p>
    <w:p>
      <w:pPr>
        <w:spacing w:after="40" w:before="40"/>
      </w:pPr>
      <w:r>
        <w:rPr>
          <w:rFonts w:ascii="Calibri" w:cs="Calibri" w:eastAsia="Calibri" w:hAnsi="Calibri"/>
          <w:i/>
          <w:iCs/>
          <w:color w:val="4A5A70"/>
          <w:sz w:val="16"/>
          <w:szCs w:val="16"/>
        </w:rPr>
        <w:t xml:space="preserve">Tick ONE conclusion. This conclusion must be reproduced verbatim in the Determination, Consent Determination, or Certificate of Settlement to which this Form is annexed.</w:t>
      </w:r>
    </w:p>
    <w:p>
      <w:pPr>
        <w:spacing w:after="4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trHeight w:val="400" w:hRule="exact"/>
        </w:trPr>
        <w:tc>
          <w:tcPr>
            <w:tcBorders>
              <w:top w:val="single" w:color="B8963E" w:sz="6"/>
              <w:left w:val="single" w:color="B8963E" w:sz="6"/>
              <w:bottom w:val="single" w:color="B8963E" w:sz="6"/>
              <w:right w:val="single" w:color="B8963E" w:sz="6"/>
            </w:tcBorders>
            <w:shd w:fill="004D1A" w:val="clear"/>
            <w:vAlign w:val="center"/>
          </w:tcPr>
          <w:p>
            <w:pPr>
              <w:spacing w:after="0" w:before="80"/>
              <w:jc w:val="center"/>
            </w:pPr>
            <w:r>
              <w:rPr>
                <w:rFonts w:ascii="Calibri" w:cs="Calibri" w:eastAsia="Calibri" w:hAnsi="Calibri"/>
                <w:b/>
                <w:bCs/>
                <w:color w:val="B8963E"/>
                <w:sz w:val="22"/>
                <w:szCs w:val="22"/>
              </w:rPr>
              <w:t xml:space="preserve">☐  </w:t>
            </w:r>
            <w:r>
              <w:rPr>
                <w:rFonts w:ascii="Calibri" w:cs="Calibri" w:eastAsia="Calibri" w:hAnsi="Calibri"/>
                <w:b/>
                <w:bCs/>
                <w:color w:val="FFFFFF"/>
                <w:sz w:val="22"/>
                <w:szCs w:val="22"/>
              </w:rPr>
              <w:t xml:space="preserve">The proposed distribution IS in the minor's best interests</w:t>
            </w:r>
          </w:p>
        </w:tc>
      </w:tr>
    </w:tbl>
    <w:p>
      <w:pPr>
        <w:spacing w:after="4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trHeight w:val="400" w:hRule="exact"/>
        </w:trPr>
        <w:tc>
          <w:tcPr>
            <w:tcBorders>
              <w:top w:val="single" w:color="B8963E" w:sz="6"/>
              <w:left w:val="single" w:color="B8963E" w:sz="6"/>
              <w:bottom w:val="single" w:color="B8963E" w:sz="6"/>
              <w:right w:val="single" w:color="B8963E" w:sz="6"/>
            </w:tcBorders>
            <w:shd w:fill="6B0000" w:val="clear"/>
            <w:vAlign w:val="center"/>
          </w:tcPr>
          <w:p>
            <w:pPr>
              <w:spacing w:after="0" w:before="80"/>
              <w:jc w:val="center"/>
            </w:pPr>
            <w:r>
              <w:rPr>
                <w:rFonts w:ascii="Calibri" w:cs="Calibri" w:eastAsia="Calibri" w:hAnsi="Calibri"/>
                <w:b/>
                <w:bCs/>
                <w:color w:val="B8963E"/>
                <w:sz w:val="22"/>
                <w:szCs w:val="22"/>
              </w:rPr>
              <w:t xml:space="preserve">☐  </w:t>
            </w:r>
            <w:r>
              <w:rPr>
                <w:rFonts w:ascii="Calibri" w:cs="Calibri" w:eastAsia="Calibri" w:hAnsi="Calibri"/>
                <w:b/>
                <w:bCs/>
                <w:color w:val="FFFFFF"/>
                <w:sz w:val="22"/>
                <w:szCs w:val="22"/>
              </w:rPr>
              <w:t xml:space="preserve">The proposed distribution IS NOT in the minor's best interests</w:t>
            </w:r>
          </w:p>
        </w:tc>
      </w:tr>
    </w:tbl>
    <w:p>
      <w:pPr>
        <w:spacing w:after="60" w:before="0"/>
      </w:pPr>
    </w:p>
    <w:p>
      <w:pPr>
        <w:pBdr>
          <w:left w:val="single" w:color="B8963E" w:sz="12"/>
        </w:pBdr>
        <w:spacing w:after="80" w:before="40"/>
        <w:ind w:left="200"/>
      </w:pPr>
      <w:r>
        <w:rPr>
          <w:rFonts w:ascii="Calibri" w:cs="Calibri" w:eastAsia="Calibri" w:hAnsi="Calibri"/>
          <w:i/>
          <w:iCs/>
          <w:color w:val="4A5A70"/>
          <w:sz w:val="18"/>
          <w:szCs w:val="18"/>
        </w:rPr>
        <w:t xml:space="preserve">Where the conclusion is that the proposed distribution IS NOT in the minor's best interests, the Tribunal shall not issue the Determination, Consent Determination, or Certificate of Settlement in the proposed form. The Tribunal shall either direct revision or refer the matter to a full hearing.</w:t>
      </w:r>
    </w:p>
    <w:p>
      <w:pPr>
        <w:spacing w:after="80" w:before="0"/>
      </w:pPr>
    </w:p>
    <w:p>
      <w:pPr>
        <w:pBdr>
          <w:bottom w:val="single" w:color="B8963E" w:sz="6"/>
        </w:pBdr>
        <w:spacing w:after="100" w:before="100"/>
      </w:pPr>
    </w:p>
    <w:p>
      <w:pPr>
        <w:spacing w:after="80" w:before="160"/>
      </w:pPr>
      <w:r>
        <w:rPr>
          <w:rFonts w:ascii="Calibri" w:cs="Calibri" w:eastAsia="Calibri" w:hAnsi="Calibri"/>
          <w:b/>
          <w:bCs/>
          <w:color w:val="0A1628"/>
          <w:sz w:val="22"/>
          <w:szCs w:val="22"/>
        </w:rPr>
        <w:t xml:space="preserve">PART H — CERTIFICATION AND SIGNATURE</w:t>
      </w:r>
    </w:p>
    <w:p>
      <w:pPr>
        <w:spacing w:after="40" w:before="0"/>
      </w:pPr>
    </w:p>
    <w:p>
      <w:pPr>
        <w:pBdr>
          <w:left w:val="single" w:color="B8963E" w:sz="12"/>
        </w:pBdr>
        <w:spacing w:after="80" w:before="80"/>
        <w:ind w:left="200"/>
      </w:pPr>
      <w:r>
        <w:rPr>
          <w:rFonts w:ascii="Calibri" w:cs="Calibri" w:eastAsia="Calibri" w:hAnsi="Calibri"/>
          <w:i w:val="false"/>
          <w:iCs w:val="false"/>
          <w:color w:val="000000"/>
          <w:sz w:val="18"/>
          <w:szCs w:val="18"/>
        </w:rPr>
        <w:t xml:space="preserve">I certify that:
(a) This Form has been completed in respect of the minor identified by initials in Part A of this Form.
(b) I have conducted the best-interests analysis required by Rule 27B(3) and TPD 09/2026, and the conclusion recorded in Part G accurately reflects my independent assessment.
(c) No Determination, Consent Determination, or Certificate of Settlement affecting this minor's succession rights will be issued without this Form being completed, signed, and annexed to the relevant instrument.
(d) This Form will be deposited in the AISTAR Permanent Registry as part of the sealed case file.</w:t>
      </w:r>
    </w:p>
    <w:p>
      <w:pPr>
        <w:spacing w:after="10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Name:</w:t>
            </w:r>
          </w:p>
          <w:p>
            <w:pPr>
              <w:spacing w:after="40" w:before="40"/>
            </w:pPr>
            <w:r>
              <w:rPr>
                <w:rFonts w:ascii="Calibri" w:cs="Calibri" w:eastAsia="Calibri" w:hAnsi="Calibri"/>
                <w:b w:val="false"/>
                <w:bCs w:val="false"/>
                <w:color w:val="D0D8E4"/>
                <w:sz w:val="18"/>
                <w:szCs w:val="18"/>
              </w:rPr>
              <w:t xml:space="preserve">___________________________</w:t>
            </w:r>
          </w:p>
          <w:p>
            <w:pPr>
              <w:spacing w:after="40" w:before="40"/>
            </w:pPr>
            <w:r>
              <w:rPr>
                <w:rFonts w:ascii="Calibri" w:cs="Calibri" w:eastAsia="Calibri" w:hAnsi="Calibri"/>
                <w:b/>
                <w:bCs/>
                <w:color w:val="0A1628"/>
                <w:sz w:val="18"/>
                <w:szCs w:val="18"/>
              </w:rPr>
              <w:t xml:space="preserve">Role (Tribunal Member / Facilitator / SRT Member):</w:t>
            </w:r>
          </w:p>
          <w:p>
            <w:pPr>
              <w:spacing w:after="40" w:before="40"/>
            </w:pPr>
            <w:r>
              <w:rPr>
                <w:rFonts w:ascii="Calibri" w:cs="Calibri" w:eastAsia="Calibri" w:hAnsi="Calibri"/>
                <w:b w:val="false"/>
                <w:bCs w:val="false"/>
                <w:color w:val="D0D8E4"/>
                <w:sz w:val="18"/>
                <w:szCs w:val="18"/>
              </w:rPr>
              <w:t xml:space="preserve">___________________________</w:t>
            </w:r>
          </w:p>
        </w:tc>
        <w:tc>
          <w:tcPr>
            <w:tcBorders>
              <w:top w:val="nil"/>
              <w:left w:val="nil"/>
              <w:bottom w:val="nil"/>
              <w:right w:val="nil"/>
            </w:tcBorders>
          </w:tcPr>
          <w:p>
            <w:pPr>
              <w:spacing w:after="40" w:before="40"/>
            </w:pPr>
            <w:r>
              <w:rPr>
                <w:rFonts w:ascii="Calibri" w:cs="Calibri" w:eastAsia="Calibri" w:hAnsi="Calibri"/>
                <w:b/>
                <w:bCs/>
                <w:color w:val="0A1628"/>
                <w:sz w:val="18"/>
                <w:szCs w:val="18"/>
              </w:rPr>
              <w:t xml:space="preserve">Signature:</w:t>
            </w:r>
          </w:p>
          <w:p>
            <w:pPr>
              <w:spacing w:after="40" w:before="40"/>
            </w:pPr>
            <w:r>
              <w:rPr>
                <w:rFonts w:ascii="Calibri" w:cs="Calibri" w:eastAsia="Calibri" w:hAnsi="Calibri"/>
                <w:b w:val="false"/>
                <w:bCs w:val="false"/>
                <w:color w:val="D0D8E4"/>
                <w:sz w:val="18"/>
                <w:szCs w:val="18"/>
              </w:rPr>
              <w:t xml:space="preserve">___________________________</w:t>
            </w:r>
          </w:p>
          <w:p>
            <w:pPr>
              <w:spacing w:after="40" w:before="40"/>
            </w:pPr>
            <w:r>
              <w:rPr>
                <w:rFonts w:ascii="Calibri" w:cs="Calibri" w:eastAsia="Calibri" w:hAnsi="Calibri"/>
                <w:b/>
                <w:bCs/>
                <w:color w:val="0A1628"/>
                <w:sz w:val="18"/>
                <w:szCs w:val="18"/>
              </w:rPr>
              <w:t xml:space="preserve">Date:</w:t>
            </w:r>
          </w:p>
          <w:p>
            <w:pPr>
              <w:spacing w:after="40" w:before="40"/>
            </w:pPr>
            <w:r>
              <w:rPr>
                <w:rFonts w:ascii="Calibri" w:cs="Calibri" w:eastAsia="Calibri" w:hAnsi="Calibri"/>
                <w:b w:val="false"/>
                <w:bCs w:val="false"/>
                <w:color w:val="D0D8E4"/>
                <w:sz w:val="18"/>
                <w:szCs w:val="18"/>
              </w:rPr>
              <w:t xml:space="preserve">___________________________</w:t>
            </w:r>
          </w:p>
        </w:tc>
      </w:tr>
    </w:tbl>
    <w:p>
      <w:pPr>
        <w:spacing w:after="100" w:before="0"/>
      </w:pPr>
    </w:p>
    <w:p>
      <w:pPr>
        <w:pBdr>
          <w:bottom w:val="single" w:color="B8963E" w:sz="6"/>
        </w:pBdr>
        <w:spacing w:after="100" w:before="100"/>
      </w:pPr>
    </w:p>
    <w:p>
      <w:pPr>
        <w:spacing w:after="80" w:before="160"/>
      </w:pPr>
      <w:r>
        <w:rPr>
          <w:rFonts w:ascii="Calibri" w:cs="Calibri" w:eastAsia="Calibri" w:hAnsi="Calibri"/>
          <w:b/>
          <w:bCs/>
          <w:color w:val="0A1628"/>
          <w:sz w:val="22"/>
          <w:szCs w:val="22"/>
        </w:rPr>
        <w:t xml:space="preserve">PART I — REGISTRY CONFIRMATION</w:t>
      </w:r>
    </w:p>
    <w:p>
      <w:pPr>
        <w:spacing w:after="40" w:before="40"/>
      </w:pPr>
      <w:r>
        <w:rPr>
          <w:rFonts w:ascii="Calibri" w:cs="Calibri" w:eastAsia="Calibri" w:hAnsi="Calibri"/>
          <w:i/>
          <w:iCs/>
          <w:color w:val="4A5A70"/>
          <w:sz w:val="16"/>
          <w:szCs w:val="16"/>
        </w:rPr>
        <w:t xml:space="preserve">Completed by the Registrar upon receipt. This form must be received and confirmed before the relevant instrument is sealed.</w:t>
      </w:r>
    </w:p>
    <w:p>
      <w:pPr>
        <w:spacing w:after="40" w:before="0"/>
      </w:pP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Form B50 received and complete — instrument may be sealed</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Form B50 received but incomplete — instrument SHALL NOT be sealed. Outstanding items: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80" w:hRule="exact"/>
        </w:trPr>
        <w:tc>
          <w:tcPr>
            <w:tcW w:type="dxa" w:w="3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Outstanding Items (if any)</w:t>
            </w:r>
          </w:p>
        </w:tc>
        <w:tc>
          <w:tcPr>
            <w:tcW w:type="dxa" w:w="68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rHeight w:val="340" w:hRule="exact"/>
        </w:trPr>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Date of Registry Receipt</w:t>
            </w:r>
          </w:p>
        </w:tc>
        <w:tc>
          <w:tcPr>
            <w:tcW w:type="dxa" w:w="2800"/>
            <w:tcBorders>
              <w:top w:val="single" w:color="D0D8E4" w:sz="4"/>
              <w:left w:val="nil"/>
              <w:bottom w:val="single" w:color="D0D8E4" w:sz="4"/>
              <w:right w:val="single" w:color="D0D8E4" w:sz="4"/>
            </w:tcBorders>
            <w:vAlign w:val="bottom"/>
          </w:tcPr>
          <w:p>
            <w:pPr>
              <w:spacing w:after="0" w:before="0"/>
            </w:pPr>
          </w:p>
        </w:tc>
        <w:tc>
          <w:tcPr>
            <w:tcW w:type="dxa" w:w="22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Initials of Registry Officer</w:t>
            </w:r>
          </w:p>
        </w:tc>
        <w:tc>
          <w:tcPr>
            <w:tcW w:type="dxa" w:w="2800"/>
            <w:tcBorders>
              <w:top w:val="single" w:color="D0D8E4" w:sz="4"/>
              <w:left w:val="nil"/>
              <w:bottom w:val="single" w:color="D0D8E4" w:sz="4"/>
              <w:right w:val="single" w:color="D0D8E4" w:sz="4"/>
            </w:tcBorders>
            <w:vAlign w:val="bottom"/>
          </w:tcPr>
          <w:p>
            <w:pPr>
              <w:spacing w:after="0" w:before="0"/>
            </w:pPr>
          </w:p>
        </w:tc>
      </w:tr>
    </w:tbl>
    <w:p>
      <w:pPr>
        <w:spacing w:after="80" w:before="0"/>
      </w:pPr>
    </w:p>
    <w:p>
      <w:pPr>
        <w:spacing w:after="40" w:before="40"/>
      </w:pPr>
      <w:r>
        <w:rPr>
          <w:rFonts w:ascii="Calibri" w:cs="Calibri" w:eastAsia="Calibri" w:hAnsi="Calibri"/>
          <w:i/>
          <w:iCs/>
          <w:color w:val="4A5A70"/>
          <w:sz w:val="16"/>
          <w:szCs w:val="16"/>
        </w:rPr>
        <w:t xml:space="preserve">Form B50 — Best Interests Finding (Minor Beneficiary) — Schedule B / TPD 09/2026 — AISTAR 2026 Seventh Edition (26 April 2026) — Aluochier Dispute Resolution — aluochier.co.ke. This form is published pursuant to TPD 09/2026 and is available through the ACDS and the AITAR Digital Gazette.</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8963E" w:sz="4"/>
      </w:pBdr>
      <w:spacing w:before="80"/>
      <w:jc w:val="center"/>
    </w:pPr>
    <w:r>
      <w:rPr>
        <w:rFonts w:ascii="Calibri" w:cs="Calibri" w:eastAsia="Calibri" w:hAnsi="Calibri"/>
        <w:color w:val="4A5A70"/>
        <w:sz w:val="16"/>
        <w:szCs w:val="16"/>
      </w:rPr>
      <w:t xml:space="preserve">AISTAR 2026 Form B50 — Best Interests Finding (Minor Beneficiary)  ·  TPD 09/2026  ·  Rules 27A–27C  ·  Seventh Edition (26 April 2026)  ·  Page </w:t>
    </w:r>
    <w:r>
      <w:rPr>
        <w:rFonts w:ascii="Calibri" w:cs="Calibri" w:eastAsia="Calibri" w:hAnsi="Calibri"/>
        <w:color w:val="4A5A70"/>
        <w:sz w:val="16"/>
        <w:szCs w:val="16"/>
      </w:rPr>
      <w:fldChar w:fldCharType="begin"/>
      <w:instrText xml:space="preserve">PAGE</w:instrText>
      <w:fldChar w:fldCharType="separate"/>
      <w:fldChar w:fldCharType="end"/>
    </w:r>
    <w:r>
      <w:rPr>
        <w:rFonts w:ascii="Calibri" w:cs="Calibri" w:eastAsia="Calibri" w:hAnsi="Calibri"/>
        <w:color w:val="4A5A70"/>
        <w:sz w:val="16"/>
        <w:szCs w:val="16"/>
      </w:rPr>
      <w:t xml:space="preserve"> of </w:t>
    </w:r>
    <w:r>
      <w:rPr>
        <w:rFonts w:ascii="Calibri" w:cs="Calibri" w:eastAsia="Calibri" w:hAnsi="Calibri"/>
        <w:color w:val="4A5A70"/>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2026-04-26T14:18:30.786Z</dcterms:created>
  <dcterms:modified xsi:type="dcterms:W3CDTF">2026-04-26T14:18:30.786Z</dcterms:modified>
</cp:coreProperties>
</file>

<file path=docProps/custom.xml><?xml version="1.0" encoding="utf-8"?>
<Properties xmlns="http://schemas.openxmlformats.org/officeDocument/2006/custom-properties" xmlns:vt="http://schemas.openxmlformats.org/officeDocument/2006/docPropsVTypes"/>
</file>